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Global Embodied Intelligence and Humanoid Robotics Industry Report</w:t>
      </w:r>
    </w:p>
    <w:p>
      <w:pPr>
        <w:pStyle w:val="Subtitle"/>
      </w:pPr>
      <w:r>
        <w:t>Industry story history market structure and operating challenges</w:t>
      </w:r>
    </w:p>
    <w:p>
      <w:pPr>
        <w:spacing w:line="240" w:lineRule="auto"/>
      </w:pPr>
      <w:r>
        <w:drawing>
          <wp:inline xmlns:a="http://schemas.openxmlformats.org/drawingml/2006/main" xmlns:pic="http://schemas.openxmlformats.org/drawingml/2006/picture">
            <wp:extent cx="6400800" cy="3600450"/>
            <wp:docPr id="1" name="Picture 1" descr="Unitree G1 humanoid robot and Go2 quadruped on an exhibition stage at Japan Mobility Show 2025, Tokyo Big Sight, October 31, 2025. The photograph illustrates robot hardware and does not establish industrial autonomy. Photo: RuinDig / Yuki Uchida, via Wikimedia Commons. CC BY 4.0. Original photograph; reproduced without pixel changes."/>
            <wp:cNvGraphicFramePr>
              <a:graphicFrameLocks noChangeAspect="1"/>
            </wp:cNvGraphicFramePr>
            <a:graphic>
              <a:graphicData uri="http://schemas.openxmlformats.org/drawingml/2006/picture">
                <pic:pic>
                  <pic:nvPicPr>
                    <pic:cNvPr id="0" name="cover_real_photo_v2.jpg"/>
                    <pic:cNvPicPr/>
                  </pic:nvPicPr>
                  <pic:blipFill>
                    <a:blip r:embed="rId10"/>
                    <a:stretch>
                      <a:fillRect/>
                    </a:stretch>
                  </pic:blipFill>
                  <pic:spPr>
                    <a:xfrm>
                      <a:off x="0" y="0"/>
                      <a:ext cx="6400800" cy="3600450"/>
                    </a:xfrm>
                    <a:prstGeom prst="rect"/>
                  </pic:spPr>
                </pic:pic>
              </a:graphicData>
            </a:graphic>
          </wp:inline>
        </w:drawing>
      </w:r>
    </w:p>
    <w:p>
      <w:pPr>
        <w:pStyle w:val="Caption"/>
      </w:pPr>
      <w:r>
        <w:t>Unitree G1 humanoid robot and Go2 quadruped on an exhibition stage at Japan Mobility Show 2025, Tokyo Big Sight, October 31, 2025. The photograph illustrates robot hardware and does not establish industrial autonomy. Photo: RuinDig / Yuki Uchida, via Wikimedia Commons. CC BY 4.0. Original photograph; reproduced without pixel changes.</w:t>
      </w:r>
    </w:p>
    <w:p>
      <w:r>
        <w:t>Sources current to 12 October 2026. This report covers the global embodied intelligence ecosystem, with humanoid commercialization as a focus. Our central assessment is that defined tasks now have early commercial evidence, while dependable generalization, operating cost and application safety still determine the path to scale. Three separate charts retain their own market definitions, periods and metrics. None establishes company shares across the whole embodied intelligence industry.</w:t>
      </w:r>
    </w:p>
    <w:p>
      <w:r>
        <w:t>Part 1 Industry Story • Part 2 Industry History • Part 3 Market Landscape including the value chain • Part 4 Industry Challenges • Separate Appendix Supporting Evidence</w:t>
      </w:r>
    </w:p>
    <w:p>
      <w:r>
        <w:br w:type="page"/>
      </w:r>
    </w:p>
    <w:p>
      <w:pPr>
        <w:pStyle w:val="Heading1"/>
      </w:pPr>
      <w:r>
        <w:t>Part 1 Industry Story</w:t>
      </w:r>
    </w:p>
    <w:p>
      <w:r>
        <w:t>In February 2026, BMW published an operating record from a humanoid robot pilot at its Spartanburg plant in the United States. During ten months in 2025, Figure 02 supported production of more than 30,000 BMW X3 vehicles. Its assignment was to remove and position sheet-metal parts for welding. BMW reported more than 90,000 components moved and approximately 1,250 operating hours. These are figures for participation in a production process, rather than a claim that the robot independently built complete vehicles. They are customer-reported results, with fleet size and independently audited economics undisclosed. [H01]</w:t>
      </w:r>
    </w:p>
    <w:p>
      <w:r>
        <w:t>The release did not disclose intervention or interruption rates, or a full cost breakdown. Its record supports accumulated work on a specific production task; it does not establish general autonomy or an audited return on investment. [H01]</w:t>
      </w:r>
    </w:p>
    <w:p>
      <w:r>
        <w:t>Our interpretation is that this bounded assignment makes the case useful. A production task gives developers a place to measure whether perception, movement and handling work together repeatedly. It also gives the customer a clear unit of useful output. A robot reaching a component once and a robot reliably completing an assigned operation across a production program are different evaluation milestones. The published record supports discussion of the latter within this particular pilot, while leaving several commercial questions open.</w:t>
      </w:r>
    </w:p>
    <w:p>
      <w:r>
        <w:t>Another route into commercial operation appeared in logistics. On 27 June 2024, GXO and Agility Robotics announced a multiyear Robots-as-a-Service agreement for Digit at a SPANX fulfillment facility, following a late-2023 pilot. The described work involved moving totes from collaborative robots onto conveyors, coordinated through Agility Arc. The companies characterized the agreement as an industry first; this report treats that superlative as their claim. The announcement supplied neither the contract value nor a fleet count. [H02]</w:t>
      </w:r>
    </w:p>
    <w:p>
      <w:r>
        <w:t>The analytical significance of the RaaS arrangement is that it ties a robot to an ongoing operating service. For a customer considering such an arrangement, the relevant comparison is the cost and reliability of completing the assigned work over time. Equipment, software and support need to be considered together. The agreement establishes a commercial structure; it does not, by itself, establish a favorable cost comparison with every other way of handling the same totes.</w:t>
      </w:r>
    </w:p>
    <w:p>
      <w:r>
        <w:t>The BMW story also continued. On 25 June 2026, the automaker announced a Figure 03 project for logistics sequencing: picking components from containers, arranging them in a trolley, and handing onward transport to established automation. The release described the next application in forward-looking terms. It did not publish a completed operating record equivalent to the earlier Figure 02 pilot. [H03]</w:t>
      </w:r>
    </w:p>
    <w:p>
      <w:r>
        <w:t>Taken together, these cases suggest the organizing question for this report: which physical tasks can an intelligent robot perform dependably, under what operating conditions, and at what total cost? Embodied intelligence concerns systems that connect perception and decision-making to physical action; a humanoid is one possible physical form. Keeping those scopes distinct allows us to examine the broader model and component ecosystem while testing humanoid business claims against specific customer applications. The industry's progress should be assessed through the relationship between technical capability and useful work, with demonstrations, pilots, commercial agreements and completed deployments identified separately.</w:t>
      </w:r>
    </w:p>
    <w:p>
      <w:pPr>
        <w:pStyle w:val="Heading1"/>
      </w:pPr>
      <w:r>
        <w:t>Part 2 Industry History</w:t>
      </w:r>
    </w:p>
    <w:p>
      <w:r>
        <w:t>The history has two connected strands: the development of machines with humanlike movement and the development of intelligence that acts through a physical system. The stages below are this report's analytical framework. They organize verified milestones without implying that every company followed the same path, or that one architecture inevitably replaced another. Their practical purpose is to explain why today's competition includes mechanics, control, data, models and integration at the same time.</w:t>
      </w:r>
    </w:p>
    <w:p>
      <w:pPr>
        <w:pStyle w:val="Heading2"/>
      </w:pPr>
      <w:r>
        <w:t>Research humanoids established the mechanical problem</w:t>
      </w:r>
    </w:p>
    <w:p>
      <w:r>
        <w:t>Waseda University completed WABOT-1 in 1973. In its institutional history, the university describes it as widely regarded as the first full-scale humanoid robot. The system could walk on two legs, grasp objects and conduct simple communication in Japanese. Waseda's WABOT-2, introduced in 1984, brought perception and coordinated movement to a specialized musical task. The qualification “full-scale” matters: it defines the historical claim rather than establishing an unrestricted first in all robotics. [H04]</w:t>
      </w:r>
    </w:p>
    <w:p>
      <w:r>
        <w:t>Honda began its humanoid robotics research in 1986, presented P2 in 1996 and P3 in 1997, and announced ASIMO on 20 November 2000. Its original release emphasized a smaller body and smoother walking through i-WALK control. The launch specifications listed a height of 1.2 meters and a mass of 43 kilograms, with workstation and handheld-controller operation. These were engineering achievements in a particular generation of platform. [H05]</w:t>
      </w:r>
    </w:p>
    <w:p>
      <w:pPr>
        <w:pStyle w:val="Heading2"/>
      </w:pPr>
      <w:r>
        <w:t>Embodied intelligence also developed through a different research route</w:t>
      </w:r>
    </w:p>
    <w:p>
      <w:r>
        <w:t>In his 1991 paper, “Intelligence without representation,” Rodney Brooks argued for building complete systems incrementally and testing them through real sensing and action. His behavior-based approach connected parallel activity layers directly to the environment; the paper described mobile robots operating in laboratory and office settings. It is one influential research route into embodied intelligence, rather than proof that Brooks invented the entire field or its terminology. [H18]</w:t>
      </w:r>
    </w:p>
    <w:p>
      <w:r>
        <w:t>The methodological link is evaluation of a complete acting system under real constraints. Contemporary foundation models have different architectures; this report therefore compares tested capabilities across physical forms.</w:t>
      </w:r>
    </w:p>
    <w:p>
      <w:pPr>
        <w:pStyle w:val="Heading2"/>
      </w:pPr>
      <w:r>
        <w:t>The DARPA challenge put hardware and autonomy into demanding tasks</w:t>
      </w:r>
    </w:p>
    <w:p>
      <w:r>
        <w:t>DARPA's July 2013 Atlas announcement introduced a humanoid platform for teams advancing from the Virtual Robotics Challenge. The platform combined hydraulic joints with sensing hardware; team-developed software and human operators guided its operation. The program connected simulated preparation to physical disaster-response tasks. [H06] The 2015 finals took place in Pomona, California, on 5–6 June. DARPA's post-event account identifies KAIST's DRC-Hubo as the top finisher and describes the winning teams' work. [H07]</w:t>
      </w:r>
    </w:p>
    <w:p>
      <w:r>
        <w:t>In our reading, the challenge illustrated the importance of system integration. Teams using Atlas could pair a shared platform with different software, operator interfaces and strategies. The prerelease emphasized falls, battery management and partial autonomy under degraded communications. [H06][H07] Competition results should be assessed within their tasks and rules; commercial operation also requires evidence on reliability, maintenance, integration and economics.</w:t>
      </w:r>
    </w:p>
    <w:p>
      <w:pPr>
        <w:pStyle w:val="Heading2"/>
      </w:pPr>
      <w:r>
        <w:t>In 2023  foundation model research expanded the learning question</w:t>
      </w:r>
    </w:p>
    <w:p>
      <w:r>
        <w:t>PaLM-E, published in March 2023, embedded images and state observations into a language model to support embodied reasoning. Its output remained text: decisions or plans that a separate low-level policy or planner translated into physical actions. [H08] RT-2, published in July, took a more direct action-generation route by encoding robot actions as output tokens when adapting vision-language models. Its authors explicitly cautioned that web-scale pretraining improved semantic and visual generalization without creating new physical motions beyond the robot training data's skill distribution. [H09]</w:t>
      </w:r>
    </w:p>
    <w:p>
      <w:r>
        <w:t>Open X-Embodiment, first published in October 2023, investigated learning across robot platforms. The version read for this report, dated May 2025, describes data from 22 robotic embodiments contributed by 21 institutions. It studies positive transfer in manipulation and explains that robotics interaction data remains limited in breadth compared with vision and language datasets. These counts describe a research dataset, rather than shipments or customer deployments. [H10]</w:t>
      </w:r>
    </w:p>
    <w:p>
      <w:r>
        <w:t>Our interpretation is that these projects changed how to formulate the learning problem. A developer could investigate whether knowledge learned elsewhere helped a robot interpret a situation, plan a task or reuse skills. The three examples address different links in that chain: grounded reasoning, action generation and cross-platform experience. Their differences matter commercially. Strong language understanding does not establish movement coverage; shared data does not guarantee transfer to every body; and a successful benchmark does not establish continuous operating performance. The model's role and the evidence for its particular capability must remain explicit.</w:t>
      </w:r>
    </w:p>
    <w:p>
      <w:pPr>
        <w:pStyle w:val="Heading2"/>
      </w:pPr>
      <w:r>
        <w:t>Policy began addressing a complete industrial ecosystem</w:t>
      </w:r>
    </w:p>
    <w:p>
      <w:r>
        <w:t>China's Ministry of Industry and Information Technology published humanoid robotics development guidance on 2 November 2023; the underlying document was dated 20 October. It set goals for 2025 and 2027 spanning models, motion control, components, production, application demonstrations and governance. The ministry's explanation also identified weaknesses in parts, operating systems, complete products and the industrial ecosystem. These are policy goals and diagnoses, rather than measured proof that the targets were achieved. [H19]</w:t>
      </w:r>
    </w:p>
    <w:p>
      <w:pPr>
        <w:pStyle w:val="Heading2"/>
      </w:pPr>
      <w:r>
        <w:t>From 2024  commercial trials supplied a different kind of evidence</w:t>
      </w:r>
    </w:p>
    <w:p>
      <w:r>
        <w:t>Boston Dynamics moved from hydraulic Atlas to an electric platform in April 2024. Its official introduction described a staged application-testing program beginning with Hyundai and emphasized the surrounding requirements of industrial deployment, including workflows and infrastructure. The current page does not display a precise publication day, so this report keeps the event at month-level resolution. [H11]</w:t>
      </w:r>
    </w:p>
    <w:p>
      <w:r>
        <w:t>The GXO–Agility agreement described in Part 1 supplied a contractual example of RaaS. [H02] BMW's August 2024 Figure 02 trial supplied customer-side evidence from several weeks of sheet-metal handling tests. At that announcement date, BMW explicitly stated that no Figure robots remained at Spartanburg and that no return timetable had been established. [H17] The later 2025 pilot record belongs to a subsequent stage. [H01]</w:t>
      </w:r>
    </w:p>
    <w:p>
      <w:pPr>
        <w:pStyle w:val="Heading2"/>
      </w:pPr>
      <w:r>
        <w:t>In 2025 to 2026 model ecosystems and product programs advanced together</w:t>
      </w:r>
    </w:p>
    <w:p>
      <w:r>
        <w:t>DeepMind introduced two complementary models in March 2025: Gemini Robotics, a VLA with physical-action outputs, and Gemini Robotics-ER, which provides spatial reasoning and connects to existing low-level controllers. The announcement described primarily ALOHA 2 bi-arm training for the VLA, adaptation to other platforms and work with Apptronik. [H12] NVIDIA released the customizable GR00T N1 that month, with reasoning/action architecture and post-training for particular robots or tasks. [H13] In September, DeepMind introduced Robotics 1.5 and Robotics-ER 1.5 for action generation and reasoning, and high-level planning and tool use, respectively. At launch, ER had developer API access while the VLA was available to selected partners. [H14]</w:t>
      </w:r>
    </w:p>
    <w:p>
      <w:r>
        <w:t>The hardware programs also developed. Boston Dynamics unveiled the product version of Atlas on 5 January 2026 and announced immediate manufacturing, with 2026 deployments scheduled for Hyundai's RMAC and Google DeepMind. Scheduled fleets are prospective commitments in that release. [H15] BMW's June Figure 03 project described a next logistics application. [H03] NVIDIA's March 2026 release announced GR00T N1.7 and previewed N2 for expected year-end availability; the preview alone cannot establish that N2 had launched by this report's cutoff. [H16]</w:t>
      </w:r>
    </w:p>
    <w:p>
      <w:pPr>
        <w:pStyle w:val="Heading1"/>
      </w:pPr>
      <w:r>
        <w:t>Part 3 Market Landscape</w:t>
      </w:r>
    </w:p>
    <w:p>
      <w:r>
        <w:t>Embodied intelligence describes a system that perceives, decides and acts through a physical body; a humanoid describes one possible body configuration. The distinction matters commercially. Google DeepMind tests transfer across ALOHA 2, a humanoid and a dual-arm platform, while Physical Intelligence studies mobile manipulation in unfamiliar homes. Neither line of work limits the intelligence layer to a two-legged machine. This report therefore treats robot models, development infrastructure and physical components as an enabling value chain, and distinguishes that broad ecosystem from narrower humanoid shipment statistics. [H14][V05]</w:t>
      </w:r>
    </w:p>
    <w:p>
      <w:r>
        <w:t>The upstream, midstream and downstream divisions below are the report's analytical classification. Upstream supplies computation, sensing, motion hardware, models and training resources. Midstream combines them into a robot with a usable control system. Downstream turns that robot into a functioning workflow and maintains it. The industry mindmap follows industry → upstream/midstream/downstream → subsegment → representative company or product. Its lines indicate categories. They do not establish that a component manufacturer supplies every robot company shown elsewhere in the diagram. Several companies occupy more than one category because they develop both hardware and intelligence.</w:t>
      </w:r>
    </w:p>
    <w:p>
      <w:pPr>
        <w:pStyle w:val="Heading2"/>
      </w:pPr>
      <w:r>
        <w:t>Models computation and data</w:t>
      </w:r>
    </w:p>
    <w:p>
      <w:r>
        <w:t>At the intelligence layer, NVIDIA's Isaac GR00T combines customizable robot models with simulation and data-generation tools. Its N1.6 research release includes evaluation across multiple real robot platforms. Google DeepMind separately combines embodied reasoning with a vision-language-action model, while Physical Intelligence develops generalist manipulation policies. These are different technical and distribution approaches rather than interchangeable finished robot products. Model availability also requires precise language: access to an API, downloadable weights and participation in a restricted testing program confer different rights and capabilities. The report does not infer a commercial licensing fee or model-market revenue from a research release. [H13][V02][H14][V05]</w:t>
      </w:r>
    </w:p>
    <w:p>
      <w:r>
        <w:t>Onboard computation is another product layer. NVIDIA announced general availability of Jetson AGX Thor and the T5000 module in August 2025. Its documented stack spans hardware interfaces, real-time control, perception and planning, and higher-level reasoning. This makes the platform relevant to both manufacturers and developers integrating models into machines. Purchasing a computer does not complete the sensing, motor control, power or safety system. The business role is supplying computing hardware and development infrastructure. Responsibilities for the resulting machine and its application still need to be defined. [V03]</w:t>
      </w:r>
    </w:p>
    <w:p>
      <w:r>
        <w:t>Data is also becoming a product and service. AGIBOT's official DaaS menu lists customized data, customized collection environments, collection-system rental and thematic subscriptions. Its AGIBOT WORLD 2026 description discusses synchronized multimodal recordings, teleoperated collection and annotated recovery from errors. These materials demonstrate a data-service role alongside the company's robot role. They do not reveal that service's revenue, customer savings or profitability. Open data should be assessed under its specific license; a public announcement does not automatically authorize unrestricted redistribution. [V12][V13]</w:t>
      </w:r>
    </w:p>
    <w:p>
      <w:pPr>
        <w:pStyle w:val="Heading2"/>
      </w:pPr>
      <w:r>
        <w:t>Motion and perception</w:t>
      </w:r>
    </w:p>
    <w:p>
      <w:r>
        <w:t>The physical chain begins with motion. Motors, transmissions, bearings, encoders, controllers and structural parts have to work as one joint. Harmonic Drive represents precision strain-wave transmission: its mechanism uses a wave generator, flexspline and circular spline. maxon's HEJ family represents an integrated quasi-direct-drive approach using planetary gears and torque sensing. These examples illustrate alternative building blocks, rather than one universal joint architecture. A manufacturer can purchase components, buy an integrated actuator or develop its own assembly. The relevant customer value is controllable motion within a mass, thermal and durability budget, with performance maintained through repeated use. [V06][V07]</w:t>
      </w:r>
    </w:p>
    <w:p>
      <w:r>
        <w:t>Perception has several distinct roles. Orbbec's Gemini 330 depth cameras and Jetson Thor integration represent visual sensing and its interface with computing. ATI's six-axis force/torque products measure forces and moments, while GelSight's DIGIT is a tactile research sensor for learning manipulation. These categories support different information: the scene, forces at a mechanical interface, and local contact. DIGIT the sensor should not be confused with Agility's Digit robot. Including these firms in the mindmap documents their product categories, not a verified supply contract with the humanoid manufacturers named in this report. [V09][V30][V08]</w:t>
      </w:r>
    </w:p>
    <w:p>
      <w:pPr>
        <w:pStyle w:val="Heading2"/>
      </w:pPr>
      <w:r>
        <w:t>Robot manufacturers and applications</w:t>
      </w:r>
    </w:p>
    <w:p>
      <w:r>
        <w:t>At the complete-machine layer, research equipment and industrial systems need to be separated. Unitree's G1 and G1 EDU specifications show different configurations and development access; a basic hardware offer cannot be treated as the price or capability of a fully equipped research platform. AGIBOT combines models with multiple physical configurations, and its June 2026 announcement reports a cumulative production milestone. UBTECH's industrial Walker S series focuses on handling, sorting and inspection, with battery management integrated into the system. The three examples show different routes into a developing market; their published product portfolios do not establish comparable end-user productivity. [V10][V11][M08]</w:t>
      </w:r>
    </w:p>
    <w:p>
      <w:r>
        <w:t>Other manufacturers illustrate the importance of application engineering. Figure's BMW deployment involves a defined production task. Agility combines Digit and Arc with GXO's existing automation. Boston Dynamics' Atlas materials describe robot, fleet software and enterprise-system integration, alongside an early-customer deployment journey. Selling an industrial humanoid therefore extends beyond delivering a body: the supplier has to translate a customer's process into sensing, actions, exception handling and maintenance. Specific stage labels should be preserved—trial, contracted commercial deployment and a wider rollout are different claims. [V16][H02][V19]</w:t>
      </w:r>
    </w:p>
    <w:p>
      <w:r>
        <w:t>The household route introduces another operating model. 1X's NEO launch describes basic initial autonomy supplemented by expert guidance for unfamiliar tasks. Tesla's second-quarter 2026 filing, meanwhile, describes continued Optimus development and preparations and investments for large-scale production. Both are participants at the integrated-machine layer, but these disclosures are different forms of evidence. A preorder offer demonstrates an intended customer proposition; production preparation demonstrates investment in future capability. Neither should be converted into an independently verified installed base or profitable autonomous labor service. [V20][V22]</w:t>
      </w:r>
    </w:p>
    <w:p>
      <w:pPr>
        <w:pStyle w:val="Heading2"/>
      </w:pPr>
      <w:r>
        <w:t>Delivery and business models</w:t>
      </w:r>
    </w:p>
    <w:p>
      <w:r>
        <w:t>Downstream is where these technologies acquire an economic purpose. Manufacturers need reliable loading, handling, sorting and inspection. Logistics operators need dependable transfer between equipment already in place. Research and education customers need development access and repeatable experiments. Household buyers need useful assistance in variable spaces. These are distinct customer jobs, rather than a single interchangeable market. An integrator, fleet operator or service team connects the robot to the actual work: defining the task, arranging interfaces, accepting the installation, managing exceptions and supporting operation. The value created must be demonstrated for each application.</w:t>
      </w:r>
    </w:p>
    <w:p>
      <w:r>
        <w:t>Three business-model categories help organize the evidence. Equipment sales transfer a machine and associated obligations under a specified package. The GXO–Agility agreement illustrates Robots-as-a-Service; AGIBOT offers data services. These categories do not imply identical risk allocation: buyers still need to examine who pays for integration, downtime, remote assistance and replacement parts. An appealing subscription price can coexist with substantial implementation work, just as a low hardware price can coexist with an expensive development project. [H02][V13]</w:t>
      </w:r>
    </w:p>
    <w:p>
      <w:r>
        <w:t>The report's analytical conclusion is that competition occurs at several levels simultaneously. Component firms compete on controllable performance and supply quality; infrastructure firms on development and deployment capability; robot makers on a usable machine; and application providers on an accepted outcome. A manufacturer's role, a robot's body shape and its operating maturity should therefore be shown separately. For downstream purchasing, the most informative comparison is the cost and quality of a completed job under the same conditions. A catalog specification, a cumulative production count and a successful demonstration each provide useful evidence, but answer different questions.</w:t>
      </w:r>
    </w:p>
    <w:p>
      <w:pPr>
        <w:sectPr>
          <w:footerReference w:type="default" r:id="rId9"/>
          <w:pgSz w:w="12240" w:h="15840"/>
          <w:pgMar w:top="1008" w:right="1080" w:bottom="936" w:left="1080" w:header="317" w:footer="403" w:gutter="0"/>
          <w:cols w:space="720"/>
          <w:docGrid w:linePitch="360"/>
        </w:sectPr>
      </w:pPr>
    </w:p>
    <w:p>
      <w:pPr>
        <w:keepNext/>
        <w:spacing w:line="240" w:lineRule="auto" w:after="0"/>
        <w:jc w:val="center"/>
      </w:pPr>
      <w:r>
        <w:drawing>
          <wp:inline xmlns:a="http://schemas.openxmlformats.org/drawingml/2006/main" xmlns:pic="http://schemas.openxmlformats.org/drawingml/2006/picture">
            <wp:extent cx="8321040" cy="5694712"/>
            <wp:docPr id="2" name="Picture 2" descr="Industry → upstream midstream downstream → segments → representative companies or products. The map is an analytical classification, not a list of verified supply contracts. Several firms appear in multiple roles; early product programs remain identified as such in the text."/>
            <wp:cNvGraphicFramePr>
              <a:graphicFrameLocks noChangeAspect="1"/>
            </wp:cNvGraphicFramePr>
            <a:graphic>
              <a:graphicData uri="http://schemas.openxmlformats.org/drawingml/2006/picture">
                <pic:pic>
                  <pic:nvPicPr>
                    <pic:cNvPr id="0" name="value_chain_white_yellow.png"/>
                    <pic:cNvPicPr/>
                  </pic:nvPicPr>
                  <pic:blipFill>
                    <a:blip r:embed="rId11"/>
                    <a:stretch>
                      <a:fillRect/>
                    </a:stretch>
                  </pic:blipFill>
                  <pic:spPr>
                    <a:xfrm>
                      <a:off x="0" y="0"/>
                      <a:ext cx="8321040" cy="5694712"/>
                    </a:xfrm>
                    <a:prstGeom prst="rect"/>
                  </pic:spPr>
                </pic:pic>
              </a:graphicData>
            </a:graphic>
          </wp:inline>
        </w:drawing>
      </w:r>
    </w:p>
    <w:p>
      <w:pPr>
        <w:pStyle w:val="Caption"/>
        <w:spacing w:before="60" w:after="0"/>
      </w:pPr>
      <w:r>
        <w:t>Industry → upstream midstream downstream → segments → representative companies or products. The map is an analytical classification, not a list of verified supply contracts. Several firms appear in multiple roles; early product programs remain identified as such in the text.</w:t>
      </w:r>
    </w:p>
    <w:p>
      <w:pPr>
        <w:sectPr>
          <w:pgSz w:w="15840" w:h="12240" w:orient="landscape"/>
          <w:pgMar w:top="1008" w:right="1080" w:bottom="936" w:left="1080" w:header="317" w:footer="403" w:gutter="0"/>
          <w:cols w:space="720"/>
          <w:docGrid w:linePitch="360"/>
        </w:sectPr>
      </w:pPr>
    </w:p>
    <w:p>
      <w:pPr>
        <w:pStyle w:val="Heading2"/>
      </w:pPr>
      <w:r>
        <w:t>What the market boundaries allow the numbers to say</w:t>
      </w:r>
    </w:p>
    <w:p>
      <w:r>
        <w:t>Embodied intelligence spans models, data, computing, physical machines and operating services. Humanoid robotics is one product category within that broader activity. The public materials actually read for this report do not establish a unified global denominator for company shares across the whole industry. We therefore use two separate windows into humanoid hardware: additional installations during 2025, and shipments during the first half of 2026. Each retains its publisher's definition and period. The charts cannot establish a company's share gain or loss between those windows, or represent the whole embodied-intelligence industry.[M01][M02]</w:t>
      </w:r>
    </w:p>
    <w:p>
      <w:r>
        <w:t>Counterpoint estimates approximately 16,000 additional humanoid installations worldwide in 2025. Its original graphic assigns AGIBOT 31.9%, Unitree 26.5%, UBTECH 5.2%, Leju 4.9%, Tesla 4.7% and other vendors 26.8%. These measure annual additional installations, rather than cumulative installed stock or external sales revenue. The article discusses AGIBOT's X2 and G2, so wheeled products are present; a complete installation-counting methodology is not disclosed. The published one-decimal shares total 100%. The approximate overall volume must not be converted into exact vendor unit counts.[M02]</w:t>
      </w:r>
    </w:p>
    <w:p>
      <w:r>
        <w:t>SAG's preliminary estimate for global humanoid shipments in H1 2026 is approximately 19,100 units. Its same-source graphic assigns AGIBOT 44%, Unitree 31%, Galbot 5%, UBTECH 4%, Leju 3% and others 13%, totaling 100%. Its definition covers full-size bipeds, smaller bipeds, wheeled robots and ultra-bionic robots; Leju includes KUAVO but excludes Aelos and Roban. All figures are rounded and preliminary. Displayed vendor volumes total 19,000, leaving a 100-unit difference from the published total. That does not authorize changing the published percentages.[M01]</w:t>
      </w:r>
    </w:p>
    <w:p>
      <w:r>
        <w:t>A separately read Counterpoint article places H1 2026 shipments above 22,000. That differs from SAG's approximately 19,100, and the public articles do not disclose enough methodological detail to explain the entire difference. This report attributes each estimate separately, preserves its denominator and does not average or splice them. Early-market statistics are sensitive to product boundaries and counting methods. Year-over-year measures are interpretable only within a research provider's consistent series.[M03]</w:t>
      </w:r>
    </w:p>
    <w:p>
      <w:pPr>
        <w:pStyle w:val="Heading2"/>
      </w:pPr>
      <w:r>
        <w:t>Customers and geography behind the rankings</w:t>
      </w:r>
    </w:p>
    <w:p>
      <w:r>
        <w:t>Hardware rankings can conceal what a supplier actually sells and to whom. A research platform, a performance-rental robot, a data-collection machine and a robot moving materials in a factory may all appear in a provider's humanoid count. Their revenue structures, operating difficulty and customer acceptance requirements differ. Our analytical conclusion is that unit share helps describe manufacturing and channel scale; it cannot by itself measure industrial-automation capability or establish customer investment returns.</w:t>
      </w:r>
    </w:p>
    <w:p>
      <w:r>
        <w:t>For the same H1 period, SAG estimates that Chinese vendors supplied more than 97% of global shipments and China accounted for more than 85% of demand. Vendor origin and demand location are distinct measures.[M01] A global assessment should therefore examine both China's manufacturing scale and how customers abroad procure robots. Demonstrating a product in many countries and generating recurring, verifiable overseas order revenue are different levels of evidence. A geographic label should describe the relevant measure rather than stand in for an entire competitive narrative.</w:t>
      </w:r>
    </w:p>
    <w:p>
      <w:r>
        <w:t>Application categories also change the interpretation. Counterpoint's H1 2026 estimate leaves entertainment and performance, together with data production and research, above 60% of shipments. Intelligent manufacturing and warehousing and logistics account for approximately 13% and 5%, respectively. These describe Counterpoint's categories and cannot replace another provider's application assumptions.[M03] In our assessment, early research and performance orders can provide income, developer relationships and production utilization. Whether they become repeat industrial purchases must be examined through renewals, unattended operating time and the cost of supporting customer sites. A growing installed population can be commercially useful without yet proving generalized labor substitution.</w:t>
      </w:r>
    </w:p>
    <w:p>
      <w:pPr>
        <w:pStyle w:val="Heading2"/>
      </w:pPr>
      <w:r>
        <w:t>Shipping  acceptance and profit are different stages</w:t>
      </w:r>
    </w:p>
    <w:p>
      <w:r>
        <w:t>In January 2026, Unitree's official clarification described more than 5,500 pure humanoids in 2025 as actually sold and delivered to end customers, and reported production exceeding 6,500; it expressly excluded dual-arm wheeled products.[M05] Its later prospectus records production of 5,716, shipments of 5,511 and recognized sales of 5,215. It explains that some products had shipped under contracts but had not completed receipt, acceptance or other revenue-recognition procedures by year-end.[M07] The public materials do not fully reconcile the January production figure or the “sold and delivered” wording with the later table. Each disclosure should retain its own date and definition. Factory output, shipment, recognized sales and orders are distinct stages and cannot be added together to measure market size.</w:t>
      </w:r>
    </w:p>
    <w:p>
      <w:r>
        <w:t>That prospectus reports RMB867.8319 million of humanoid main-business revenue in 2025, accounting for 51.78% of main-business revenue. The average humanoid selling price was RMB166,400, down 36.10%. This reflects the company's recognized sales and model mix; it is not a uniform global robot price.[M07] Company-wide revenue was RMB1,699.2693 million, consolidated gross margin 60.44%, and profit attributable to the parent after excluding nonrecurring items RMB590.7528 million.[M06] Quadrupeds and components also contribute to the business. Group profitability does not establish the same net margin for humanoids. The 51.78% denominator is main-business revenue and must not be applied directly to total company revenue.</w:t>
      </w:r>
    </w:p>
    <w:p>
      <w:r>
        <w:t>UBTECH offers a different operating example. Its 2025 group revenue was RMB2,000.999 million. Full-size embodied-intelligent humanoid products and services generated RMB820.557 million, or 41.1%, with 1,079 relevant unit sales. Group gross margin was 37.7%, and group net loss RMB789.823 million.[M08] These figures do not calculate a loss per humanoid. Other robots and hardware sit within the group, the category includes services, and research and selling expenditure cannot simply be divided by those 1,079 units. Comparing companies requires matching products, accounting perimeter and the level at which profit is reported.</w:t>
      </w:r>
    </w:p>
    <w:p>
      <w:r>
        <w:t>The latest readable interim announcement available by the research cutoff reports unaudited H1 2026 group revenue of RMB1,269.130 million, up 104.2%. Full-size embodied-humanoid products and services generated RMB590.299 million, or 46.5%, with 921 unit sales. Group gross margin rose to 44.7%, while group net loss remained RMB338.827 million. The disclosure also changed business categories and included newly acquired activities.[M09] Assessing improvement requires considering revenue, gross profit, operating expenditure and changes to the company perimeter together. H1 unit sales cannot be compared directly with the previous full year to calculate annual growth; a company's internal revenue proportion is not market share.</w:t>
      </w:r>
    </w:p>
    <w:p>
      <w:pPr>
        <w:pStyle w:val="Heading2"/>
      </w:pPr>
      <w:r>
        <w:t>Funding scale and commercial revenue belong on separate lines</w:t>
      </w:r>
    </w:p>
    <w:p>
      <w:r>
        <w:t>In September 2025, Figure announced more than USD1 billion of committed Series C capital at a USD39 billion post-money valuation, with manufacturing, training infrastructure and real-world data collection among the intended uses.[M10] In February 2026, Apptronik announced a USD520 million Series A-X extension. Together with the earlier USD415 million Series A, its Series A exceeded USD935 million, bringing total capital raised close to USD1 billion. Its announcement names Mercedes-Benz, GXO, Jabil and Google DeepMind as partners.[M11] These disclosures establish access to expansion resources. They do not establish operating revenue, customer spending or successful utilization of manufacturing capacity.</w:t>
      </w:r>
    </w:p>
    <w:p>
      <w:r>
        <w:t>An accumulated round total must not be added again to an extension already included in that total. Likewise, valuation incorporates investors' expectations about future scale, intellectual property and execution; it does not promise a multiple of current profits. Our assessment is that competition unfolds simultaneously through manufacturing cost, model development and customer delivery. Capital can extend the period available for validation, but it cannot replace validation at operating sites. Regional comparisons should distinguish completed sales, contracts, pilots, capacity targets and financing rather than using one category as a proxy for another.</w:t>
      </w:r>
    </w:p>
    <w:p>
      <w:r>
        <w:t>A useful commercial assessment consequently asks what the financing enables and what still needs to happen before it becomes revenue. Factory investment needs products that customers will accept. Training investment needs capabilities that work within customer constraints. Data collection needs rights, quality control and a path into improved performance. These are analytical questions, not claims that every funded project will succeed or fail. Applying the same questions to all companies makes the comparison more informative than ranking fundraising totals alone.</w:t>
      </w:r>
    </w:p>
    <w:p>
      <w:pPr>
        <w:pStyle w:val="Heading2"/>
      </w:pPr>
      <w:r>
        <w:t>Customer sites are defining what can be charged for</w:t>
      </w:r>
    </w:p>
    <w:p>
      <w:r>
        <w:t>The customer-confirmed GXO agreement described in P1 gives a concrete RaaS example. Published terms leave price, fleet size, service levels and payback undisclosed.[H02] The announcement establishes a contract and a defined workflow. Replicating it across facilities still depends on local conditions, integration work and sustained support. An operating agreement is stronger evidence than a demonstration, while remaining short of a published industry-wide return on investment.</w:t>
      </w:r>
    </w:p>
    <w:p>
      <w:r>
        <w:t>BMW confirmed in June 2026 that Figure 02 supported the production of more than 30,000 BMW X3 vehicles over ten months in 2025, inserting sheet-metal parts within a welding process. A follow-on Figure 03 project moves to component sequencing in logistics, connecting with other transport automation.[H03] Supporting vehicle production does not mean independently manufacturing whole cars. The case is valuable because it identifies a work step, interfaces and a subsequent task; vehicle throughput must not become a substitute for robot sales. Customers buy a workable contribution to their process, rather than an abstract claim of generality.</w:t>
      </w:r>
    </w:p>
    <w:p>
      <w:r>
        <w:t>Our assessment is that the commercial product may be an operating workflow: hardware, task software, maintenance, remote support and interfaces with customer systems. An equipment sale centers on delivery and acceptance; RaaS centers on continuing availability and operating cost. These structures allocate responsibilities differently. A low purchase price alone does not show that the customer receives a low-cost service, and a subscription alone does not establish that the supplier has attractive recurring margins. The relevant evidence includes who owns the equipment, who responds to faults and what constitutes accepted performance.</w:t>
      </w:r>
    </w:p>
    <w:p>
      <w:r>
        <w:t>For a customer, choosing a humanoid, a wheeled dual-arm machine or specialized automation requires comparing safety, throughput, space, maintenance and total cost for the same task. Human-like appearance does not perform that comparison. Existing automation may remain part of the process even when a humanoid is introduced. Industry competition should therefore be judged increasingly by reliably delivered, billable work under stated conditions. This framework leaves room for different physical forms and business models without pretending that every promising prototype has reached the same commercial stage.</w:t>
      </w:r>
    </w:p>
    <w:p>
      <w:r>
        <w:t>This report excludes Omdia's January 2026 version of its 2025 vendor-share graphic. The associated shipment table has an internal 50-unit discrepancy, and later first-party Unitree disclosures exceed its earlier estimate. The original report and graphic were actually checked; the exclusion is documented in Supporting Evidence.[M04][M05]</w:t>
      </w:r>
    </w:p>
    <w:p>
      <w:pPr>
        <w:pStyle w:val="Heading2"/>
      </w:pPr>
      <w:r>
        <w:t>Adjacent markets and different robot definitions</w:t>
      </w:r>
    </w:p>
    <w:p>
      <w:r>
        <w:t>Established automation provides an alternative against which humanoid systems must be assessed. IFR reports around five million industrial robots in operation in 2025 and more than 600,000 new installations that year. These are industrial-robot stock and flow, with no measurement of embodied AI adoption. [R01]</w:t>
      </w:r>
    </w:p>
    <w:p>
      <w:r>
        <w:t>IFR separately reports about 7,000 full-size humanoids above 140 cm sold worldwide in 2025 for commercial and professional use beyond research and entertainment. That narrower boundary cannot be reconciled by subtraction with the broader humanoid estimates above. [R02]</w:t>
      </w:r>
    </w:p>
    <w:p>
      <w:r>
        <w:t>Figure 3 describes professional service robot applications within IFR’s producer sample. Its purpose is to show established task markets where new systems face existing alternatives. The sample is not projected to the industry and changes annually; the chart neither counts humanoids alone nor classifies AI adoption. [R03]</w:t>
      </w:r>
    </w:p>
    <w:p>
      <w:r>
        <w:br w:type="page"/>
      </w:r>
    </w:p>
    <w:p>
      <w:pPr>
        <w:pStyle w:val="Heading2"/>
      </w:pPr>
      <w:r>
        <w:t>Figure 1 Global humanoid shipment share in H1 2026</w:t>
      </w:r>
    </w:p>
    <w:p>
      <w:r>
        <w:t>Worldwide humanoid shipment units under SAG’s four-form definition. The preliminary, rounded estimate includes wheeled robots. Each published share is preserved. [M01]</w:t>
      </w:r>
    </w:p>
    <w:p>
      <w:pPr>
        <w:keepNext/>
        <w:spacing w:line="240" w:lineRule="auto"/>
      </w:pPr>
      <w:r>
        <w:drawing>
          <wp:inline xmlns:a="http://schemas.openxmlformats.org/drawingml/2006/main" xmlns:pic="http://schemas.openxmlformats.org/drawingml/2006/picture">
            <wp:extent cx="6400800" cy="4200525"/>
            <wp:docPr id="3" name="Picture 3" descr="Worldwide humanoid shipment units under SAG’s four-form definition. The preliminary, rounded estimate includes wheeled robots. Each published share is preserved. [M01]"/>
            <wp:cNvGraphicFramePr>
              <a:graphicFrameLocks noChangeAspect="1"/>
            </wp:cNvGraphicFramePr>
            <a:graphic>
              <a:graphicData uri="http://schemas.openxmlformats.org/drawingml/2006/picture">
                <pic:pic>
                  <pic:nvPicPr>
                    <pic:cNvPr id="0" name="figure_1_shipments_2026H1_white_yellow.png"/>
                    <pic:cNvPicPr/>
                  </pic:nvPicPr>
                  <pic:blipFill>
                    <a:blip r:embed="rId12"/>
                    <a:stretch>
                      <a:fillRect/>
                    </a:stretch>
                  </pic:blipFill>
                  <pic:spPr>
                    <a:xfrm>
                      <a:off x="0" y="0"/>
                      <a:ext cx="6400800" cy="4200525"/>
                    </a:xfrm>
                    <a:prstGeom prst="rect"/>
                  </pic:spPr>
                </pic:pic>
              </a:graphicData>
            </a:graphic>
          </wp:inline>
        </w:drawing>
      </w:r>
    </w:p>
    <w:p>
      <w:pPr>
        <w:pStyle w:val="Caption"/>
      </w:pPr>
      <w:r>
        <w:t>Published shares total 100%. Listed vendor volumes sum to 19.0K while the total is 19.1K. This chart does not measure productive autonomous workers or total embodied intelligence. Do not compare its shares directly with Figure 2.</w:t>
      </w:r>
    </w:p>
    <w:tbl>
      <w:tblPr>
        <w:tblW w:type="auto" w:w="0"/>
        <w:tblLook w:firstColumn="1" w:firstRow="1" w:lastColumn="0" w:lastRow="0" w:noHBand="0" w:noVBand="1" w:val="04A0"/>
      </w:tblPr>
      <w:tblGrid>
        <w:gridCol w:w="5040"/>
        <w:gridCol w:w="5040"/>
      </w:tblGrid>
      <w:tr>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Company or application</w:t>
            </w:r>
          </w:p>
        </w:tc>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Share %</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AGIBOT</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44</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Unitree</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31</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Galbot</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5</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UBTECH</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Leju</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Others</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13</w:t>
            </w:r>
          </w:p>
        </w:tc>
      </w:tr>
    </w:tbl>
    <w:p>
      <w:r>
        <w:br w:type="page"/>
      </w:r>
    </w:p>
    <w:p>
      <w:pPr>
        <w:pStyle w:val="Heading2"/>
      </w:pPr>
      <w:r>
        <w:t>Figure 2 Global humanoid installation share in 2025</w:t>
      </w:r>
    </w:p>
    <w:p>
      <w:r>
        <w:t>Counterpoint’s estimate of worldwide annual additional humanoid installations. Wheeled products are present; the complete counting methodology is undisclosed. The original one-decimal shares are retained. [M02]</w:t>
      </w:r>
    </w:p>
    <w:p>
      <w:pPr>
        <w:keepNext/>
        <w:spacing w:line="240" w:lineRule="auto"/>
      </w:pPr>
      <w:r>
        <w:drawing>
          <wp:inline xmlns:a="http://schemas.openxmlformats.org/drawingml/2006/main" xmlns:pic="http://schemas.openxmlformats.org/drawingml/2006/picture">
            <wp:extent cx="6400800" cy="4200525"/>
            <wp:docPr id="4" name="Picture 4" descr="Counterpoint’s estimate of worldwide annual additional humanoid installations. Wheeled products are present; the complete counting methodology is undisclosed. The original one-decimal shares are retained. [M02]"/>
            <wp:cNvGraphicFramePr>
              <a:graphicFrameLocks noChangeAspect="1"/>
            </wp:cNvGraphicFramePr>
            <a:graphic>
              <a:graphicData uri="http://schemas.openxmlformats.org/drawingml/2006/picture">
                <pic:pic>
                  <pic:nvPicPr>
                    <pic:cNvPr id="0" name="figure_2_installations_2025_white_yellow.png"/>
                    <pic:cNvPicPr/>
                  </pic:nvPicPr>
                  <pic:blipFill>
                    <a:blip r:embed="rId13"/>
                    <a:stretch>
                      <a:fillRect/>
                    </a:stretch>
                  </pic:blipFill>
                  <pic:spPr>
                    <a:xfrm>
                      <a:off x="0" y="0"/>
                      <a:ext cx="6400800" cy="4200525"/>
                    </a:xfrm>
                    <a:prstGeom prst="rect"/>
                  </pic:spPr>
                </pic:pic>
              </a:graphicData>
            </a:graphic>
          </wp:inline>
        </w:drawing>
      </w:r>
    </w:p>
    <w:p>
      <w:pPr>
        <w:pStyle w:val="Caption"/>
      </w:pPr>
      <w:r>
        <w:t>Shares total 100%. This is neither cumulative installed stock nor recognized sales. Its period, source and metric differ from Figure 1. The publication is dated January 2026; its body contains an apparent 2025 dateline typo, recorded in the appendix.</w:t>
      </w:r>
    </w:p>
    <w:tbl>
      <w:tblPr>
        <w:tblW w:type="auto" w:w="0"/>
        <w:tblLook w:firstColumn="1" w:firstRow="1" w:lastColumn="0" w:lastRow="0" w:noHBand="0" w:noVBand="1" w:val="04A0"/>
      </w:tblPr>
      <w:tblGrid>
        <w:gridCol w:w="5040"/>
        <w:gridCol w:w="5040"/>
      </w:tblGrid>
      <w:tr>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Company or application</w:t>
            </w:r>
          </w:p>
        </w:tc>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Share %</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AGIBOT</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31.9</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Unitree</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26.5</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UBTECH</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5.2</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Leju</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4.9</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Tesla</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4.7</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Others</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26.8</w:t>
            </w:r>
          </w:p>
        </w:tc>
      </w:tr>
    </w:tbl>
    <w:p>
      <w:r>
        <w:br w:type="page"/>
      </w:r>
    </w:p>
    <w:p>
      <w:pPr>
        <w:pStyle w:val="Heading2"/>
      </w:pPr>
      <w:r>
        <w:t>Figure 3 Professional service robot application mix in the 2025 IFR sample</w:t>
      </w:r>
    </w:p>
    <w:p>
      <w:r>
        <w:t>Adjacent-market context. IFR’s survey covers 238 of 1,001 identified producers across the reported service-robot statistics and is not extrapolated to the whole industry. This chart shows the professional-use application mix within that survey. [R03]</w:t>
      </w:r>
    </w:p>
    <w:p>
      <w:pPr>
        <w:keepNext/>
        <w:spacing w:line="240" w:lineRule="auto"/>
      </w:pPr>
      <w:r>
        <w:drawing>
          <wp:inline xmlns:a="http://schemas.openxmlformats.org/drawingml/2006/main" xmlns:pic="http://schemas.openxmlformats.org/drawingml/2006/picture">
            <wp:extent cx="6400800" cy="4200525"/>
            <wp:docPr id="5" name="Picture 5" descr="Adjacent-market context. IFR’s survey covers 238 of 1,001 identified producers across the reported service-robot statistics and is not extrapolated to the whole industry. This chart shows the professional-use application mix within that survey. [R03]"/>
            <wp:cNvGraphicFramePr>
              <a:graphicFrameLocks noChangeAspect="1"/>
            </wp:cNvGraphicFramePr>
            <a:graphic>
              <a:graphicData uri="http://schemas.openxmlformats.org/drawingml/2006/picture">
                <pic:pic>
                  <pic:nvPicPr>
                    <pic:cNvPr id="0" name="figure_3_service_applications_2025_white_yellow.png"/>
                    <pic:cNvPicPr/>
                  </pic:nvPicPr>
                  <pic:blipFill>
                    <a:blip r:embed="rId14"/>
                    <a:stretch>
                      <a:fillRect/>
                    </a:stretch>
                  </pic:blipFill>
                  <pic:spPr>
                    <a:xfrm>
                      <a:off x="0" y="0"/>
                      <a:ext cx="6400800" cy="4200525"/>
                    </a:xfrm>
                    <a:prstGeom prst="rect"/>
                  </pic:spPr>
                </pic:pic>
              </a:graphicData>
            </a:graphic>
          </wp:inline>
        </w:drawing>
      </w:r>
    </w:p>
    <w:p>
      <w:pPr>
        <w:pStyle w:val="Caption"/>
      </w:pPr>
      <w:r>
        <w:t>The six published rounded shares total 100%; the listed units total 249,568. Sample composition changes annually. These categories do not measure embodied AI adoption or humanoid demand. Original values are retained rather than normalized.</w:t>
      </w:r>
    </w:p>
    <w:tbl>
      <w:tblPr>
        <w:tblW w:type="auto" w:w="0"/>
        <w:tblLook w:firstColumn="1" w:firstRow="1" w:lastColumn="0" w:lastRow="0" w:noHBand="0" w:noVBand="1" w:val="04A0"/>
      </w:tblPr>
      <w:tblGrid>
        <w:gridCol w:w="5040"/>
        <w:gridCol w:w="5040"/>
      </w:tblGrid>
      <w:tr>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Company or application</w:t>
            </w:r>
          </w:p>
        </w:tc>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Share %</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Transportation and logistics</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47</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Hospitality</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22</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Professional cleaning</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18</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Agriculture</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7</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Inspection and maintenance</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Others</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w:t>
            </w:r>
          </w:p>
        </w:tc>
      </w:tr>
    </w:tbl>
    <w:p>
      <w:r>
        <w:br w:type="page"/>
      </w:r>
    </w:p>
    <w:p>
      <w:pPr>
        <w:pStyle w:val="Heading1"/>
      </w:pPr>
      <w:r>
        <w:t>Part 4  Industry Challenges</w:t>
      </w:r>
    </w:p>
    <w:p>
      <w:r>
        <w:t>The difficult transition is from a successful action to a dependable service. For this report, commercial maturity is assessed through a chain of practical questions: can the robot perform the required job, recover when it fails, maintain that performance over a working schedule, operate safely in its actual surroundings, and produce an economic benefit after all associated costs? The analysis below combines documented capabilities and limitations with proposed evaluation criteria; it does not place every company at the same stage. Progress on one measure should not automatically be treated as progress on all the others.</w:t>
      </w:r>
    </w:p>
    <w:p>
      <w:pPr>
        <w:pStyle w:val="Heading2"/>
      </w:pPr>
      <w:r>
        <w:t>Generalization and training data</w:t>
      </w:r>
    </w:p>
    <w:p>
      <w:r>
        <w:t>Generalization remains an engineering boundary. Physical Intelligence's π0.5 paper reports manipulation in homes outside its training environments, but identifies persistent difficulties with unfamiliar handles, physical opening resistance, occlusion, distracted subtask selection and limited context. These are research results with stated limits. The practical implication is that a buyer should define which variation the system has actually been tested against. A useful evaluation changes objects, their placement, lighting, access and task order, then records completed jobs and assistance. This report does not equate an unfamiliar test environment with open-ended competence in every home. [V05]</w:t>
      </w:r>
    </w:p>
    <w:p>
      <w:r>
        <w:t>Data volume needs to be judged by what it represents. NVIDIA's N1 announcement reports generating 780,000 synthetic trajectories in an internal experiment; that demonstrates a scaling tool rather than proof that every relevant physical situation has been modeled. AGIBOT's dataset description retains error-recovery trajectories, illustrating that failures and corrective actions can form part of the learning record. Deployment decisions should examine scenario coverage, calibration, rare failures and real-machine validation alongside hours or episodes. Simulation provides a way to expand testing and training; its value must ultimately be checked against the task on physical hardware. [H13][V12]</w:t>
      </w:r>
    </w:p>
    <w:p>
      <w:pPr>
        <w:pStyle w:val="Heading2"/>
      </w:pPr>
      <w:r>
        <w:t>Reliability power and useful output</w:t>
      </w:r>
    </w:p>
    <w:p>
      <w:r>
        <w:t>Mechanical reliability can constrain otherwise capable software. Figure identifies the forearm as its leading hardware failure point at BMW and discusses compact packaging, dexterity and thermal constraints. It also defines cycle time, placement accuracy and intervention count as operational KPIs. Its published accuracy and intervention goals must remain goals unless achieved results are separately disclosed. The implication for procurement is to request distributions over normal shifts, not just a best run: repeated failures, repair time and performance drift can matter more than a demonstration's peak speed. [V16]</w:t>
      </w:r>
    </w:p>
    <w:p>
      <w:r>
        <w:t>Payload and endurance require conditions. Unitree explicitly notes that arm load varies with extension posture and that specifications vary with configuration and scenario. Atlas distinguishes an instantaneous 50 kg capacity from a sustained 30 kg capacity and publishes a four-hour battery figure. Those measures cannot be pooled into a single ranking of industrial productivity. A useful acceptance test specifies reach, object geometry, gripping method, movement, duration and required accuracy. It also separates powered hours from productive hours, because replenishment, maintenance and interventions interrupt output. [V10][V19]</w:t>
      </w:r>
    </w:p>
    <w:p>
      <w:r>
        <w:t>Battery exchange addresses one interruption, with its own infrastructure. UBTECH advertises autonomous Walker S2 battery exchange within three minutes using a dual-battery system and charging stations. That is a product capability claim, not a published audit of uninterrupted round-the-clock availability. Similarly, more computing power has an energy cost: NVIDIA lists a 40–130 W range for the T5000 module, which is only one part of a robot's power budget. A customer's assessment should include stations, spare batteries, charging capacity and the energy consumed by motors and computation under the actual workload. [V15][V03]</w:t>
      </w:r>
    </w:p>
    <w:p>
      <w:pPr>
        <w:pStyle w:val="Heading2"/>
      </w:pPr>
      <w:r>
        <w:t>Safety throughout the operating lifecycle</w:t>
      </w:r>
    </w:p>
    <w:p>
      <w:r>
        <w:t>Safety has to match the application. ISO 10218-1:2025 addresses industrial robot design; Part 2 addresses applications and integration. Their public scope excludes publicly accessible service and household uses and does not cover specified mobility hazards associated with mobile platforms. ISO 13482 addresses defined personal-care robot categories and excludes industrial and medical-device robots, among others. These are scope boundaries, not a reason to say humanoids have no relevant standards. A robot's humanlike shape does not by itself identify the correct safety framework or establish conformity. [V23][V24][V25]</w:t>
      </w:r>
    </w:p>
    <w:p>
      <w:r>
        <w:t>Mobility and dynamic balance add concerns beyond a stationary arm. A3's October 2026 standards update discusses bystanders, stopping distance, protective and emergency stops, energy control, and continued safe operation after deployment. It describes dynamically stable humanoids within the industrial-mobile-robot landscape. A site assessment should consider the complete machine, its payload, its route and nearby people together. A new hand, a heavier object, a changed floor layout or a software update may change the conditions on which an earlier assessment relied. Safety is consequently a lifecycle responsibility. [V26]</w:t>
      </w:r>
    </w:p>
    <w:p>
      <w:r>
        <w:t>Semantic safety and a dependable protective layer also have different functions. DeepMind describes both high-level safety reasoning and lower-level robot safeguards. Agility and FORT's October 2026 announcement describes a planned Digit 5 architecture spanning a pendant, onboard communication and offboard interfaces. The latter remains a memorandum and forward-looking development disclosure. These sources support the need to distinguish reasoning about a safe action from an implemented protective function; they do not establish that a foundation model or an announced partnership provides universal certification for nearby human work. [H14][V27]</w:t>
      </w:r>
    </w:p>
    <w:p>
      <w:pPr>
        <w:pStyle w:val="Heading2"/>
      </w:pPr>
      <w:r>
        <w:t>Remote assistance and governance</w:t>
      </w:r>
    </w:p>
    <w:p>
      <w:r>
        <w:t>Remote assistance is a service and cost boundary. NEO's order page explicitly describes basic autonomy and scheduled Expert Mode for tasks it does not know, alongside remote-control options. Its ownership and subscription offers are different packages, not interchangeable estimates of total operating cost. The buyer needs a clear definition of autonomous completion, remote supervision and direct intervention. This report recommends measuring assistance minutes per accepted task and asking what happens when connectivity or a remote operator is unavailable. For a household or a confidential factory, the same arrangement also raises concrete questions about access to live views, data retention, permission and auditability. [V21]</w:t>
      </w:r>
    </w:p>
    <w:p>
      <w:r>
        <w:t>Policy should be discussed with equivalent care. The European Commission's explanation of product-related high-risk AI sets cumulative conditions involving a covered product or safety component and a required third-party conformity assessment. It does not classify every robot as high-risk merely because it uses AI. A practical assessment starts by documenting intended use and responsibility for the robot, AI functions and installation together; obligations may differ across industrial, consumer and other applications. Exact legal requirements must be checked against the applicable jurisdiction and product. [V28]</w:t>
      </w:r>
    </w:p>
    <w:p>
      <w:pPr>
        <w:pStyle w:val="Heading2"/>
      </w:pPr>
      <w:r>
        <w:t>Market access and product regulation</w:t>
      </w:r>
    </w:p>
    <w:p>
      <w:r>
        <w:t>Market access now affects the global comparison. On 28 July 2026, the FCC added foreign-produced advanced robotic devices to its Covered List, subject to a DoW conditional-approval exception. The public notice prevents covered equipment from receiving FCC equipment authorization. The official FAQ says the production test is country-neutral; company nationality alone does not determine coverage. It also distinguishes new models from previously authorized ones: the July addition itself does not prohibit continued importing or selling of authorized models, or lawful consumer use. The report therefore does not describe an indiscriminate ban on existing foreign humanoids. [V33][V34]</w:t>
      </w:r>
    </w:p>
    <w:p>
      <w:r>
        <w:t>Coverage depends on device characteristics and manufacturing status. The FCC's FAQ describes qualifying ground-mobile machines, including humanoids and quadrupeds, with weight, environmental sensing, connectivity and controlling-software conditions; it excludes fixed, stationary industrial arms. A supplier's body shape or headquarters is therefore insufficient for a compliance conclusion. Conditional exceptions also exist in practice: on 18 September, the FCC exempted ANSCER's AR250, AR650 and AR1250 platforms, subject to continued compliance with an onshoring plan and updated vetting. For purchasers, model authorization and applicable exception status become part of procurement evidence. [V34][V35]</w:t>
      </w:r>
    </w:p>
    <w:p>
      <w:r>
        <w:t>The EU timetable also requires version control. In its 27 July 2026 announcement, the European Commission states that AI Omnibus entered into force that day and that rules for high-risk AI embedded in Annex I physical products apply from 2 August 2028; the Annex III timetable is 2 December 2027. These dates are attributed to the Commission's policy explanation. The report did not independently read the amended EUR-Lex legal text and does not treat every humanoid as high-risk. The cumulative classification conditions in the Commission's Article 6(1) guidance remain the starting point for product-specific assessment. [V36][V28]</w:t>
      </w:r>
    </w:p>
    <w:p>
      <w:pPr>
        <w:pStyle w:val="Heading2"/>
      </w:pPr>
      <w:r>
        <w:t>Unit economics and purchasing evidence</w:t>
      </w:r>
    </w:p>
    <w:p>
      <w:r>
        <w:t>The economic test is total cost per accepted output. The report proposes an accounting framework that includes equipment or service payments, integration, site preparation, training and data, batteries and energy, maintenance and spares, software, supervision and insurance where relevant. Costs should be assigned without double-counting items already included in a service package. Accepted output should use the same quality standard as the alternative process. This is an author-developed assessment framework, not a disclosed company cost model or a forecast of industry margins.</w:t>
      </w:r>
    </w:p>
    <w:p>
      <w:r>
        <w:t>A simple decision calculation is annual verified benefit minus annual recurring robot-related cost; a payback calculation is meaningful only if that net benefit is positive and the initial investment is defined. Benefit may include avoided paid work, additional saleable output or reduced rejects, but the same gain should not be counted twice. Availability, useful utilization, task quality and assistance affect the result. The comparison should include the available alternatives—a fixed arm, a mobile manipulator, existing automation, a redesigned process or human work—under the same required workload. No numerical payback or universal labor-substitution ratio is inferred here.</w:t>
      </w:r>
    </w:p>
    <w:p>
      <w:r>
        <w:t>A cumulative shipment, factory rollout or operating-hours announcement does not provide all of those inputs. The report consequently recommends stage-specific evidence. For an early system, request repeatable task and recovery trials. For a pilot, request representative shifts, exception logs and measured integration effort. For a commercial service, request accepted output, actual assistance, downtime, full cost and contractual remedies. These measures connect the industry's advances to an inspectable customer result while preserving what remains undisclosed.</w:t>
      </w:r>
    </w:p>
    <w:p>
      <w:r>
        <w:br w:type="page"/>
      </w:r>
    </w:p>
    <w:p>
      <w:pPr>
        <w:pStyle w:val="Heading1"/>
      </w:pPr>
      <w:r>
        <w:t>Appendix Supporting Evidence</w:t>
      </w:r>
    </w:p>
    <w:p>
      <w:pPr>
        <w:pStyle w:val="Heading2"/>
      </w:pPr>
      <w:r>
        <w:t>Story and history sources</w:t>
      </w:r>
    </w:p>
    <w:p>
      <w:pPr>
        <w:pStyle w:val="Heading3"/>
      </w:pPr>
      <w:r>
        <w:t>H01</w:t>
      </w:r>
    </w:p>
    <w:p>
      <w:r>
        <w:t xml:space="preserve">Source: </w:t>
      </w:r>
      <w:hyperlink r:id="rId15">
        <w:r>
          <w:rPr>
            <w:color w:val="89651E"/>
          </w:rPr>
          <w:t>BMW Group to deploy humanoid robots in production in Germany for the first time</w:t>
        </w:r>
      </w:hyperlink>
      <w:r>
        <w:t>. Institution/author: BMW Group.</w:t>
      </w:r>
    </w:p>
    <w:p>
      <w:r>
        <w:t>Published: 2026-02-27. Event/statistical period: 2025 pilot; ten months; exact start and end not disclosed. Accessed: 2026-10-12.</w:t>
      </w:r>
    </w:p>
    <w:p>
      <w:r>
        <w:t>Support and limits: Supports a customer-reported pilot. Fleet size, interventions, prices and audited economics are undisclosed; vehicle totals describe production support.</w:t>
      </w:r>
    </w:p>
    <w:p>
      <w:pPr>
        <w:pStyle w:val="Heading3"/>
      </w:pPr>
      <w:r>
        <w:t>H02</w:t>
      </w:r>
    </w:p>
    <w:p>
      <w:r>
        <w:t xml:space="preserve">Source: </w:t>
      </w:r>
      <w:hyperlink r:id="rId16">
        <w:r>
          <w:rPr>
            <w:color w:val="89651E"/>
          </w:rPr>
          <w:t>GXO signs industry-first multi-year agreement with Agility Robotics</w:t>
        </w:r>
      </w:hyperlink>
      <w:r>
        <w:t>. Institution/author: GXO Logistics / Agility Robotics.</w:t>
      </w:r>
    </w:p>
    <w:p>
      <w:r>
        <w:t>Published: 2024-06-27. Event/statistical period: Agreement announced 2024-06-27; preceding pilot in late 2023. Accessed: 2026-10-12.</w:t>
      </w:r>
    </w:p>
    <w:p>
      <w:r>
        <w:t>Support and limits: Supports an announced commercial RaaS agreement and described tote task. First-of-industry status is the companies' claim; contract value, fleet size and profitability are undisclosed.</w:t>
      </w:r>
    </w:p>
    <w:p>
      <w:pPr>
        <w:pStyle w:val="Heading3"/>
      </w:pPr>
      <w:r>
        <w:t>H03</w:t>
      </w:r>
    </w:p>
    <w:p>
      <w:r>
        <w:t xml:space="preserve">Source: </w:t>
      </w:r>
      <w:hyperlink r:id="rId17">
        <w:r>
          <w:rPr>
            <w:color w:val="89651E"/>
          </w:rPr>
          <w:t>BMW Group advances the use of Physical AI in production with Figure 03 project in Spartanburg</w:t>
        </w:r>
      </w:hyperlink>
      <w:r>
        <w:t>. Institution/author: BMW Group.</w:t>
      </w:r>
    </w:p>
    <w:p>
      <w:r>
        <w:t>Published: 2026-06-25. Event/statistical period: 2026 project announcement; retrospective references the 2025 Figure 02 pilot. Accessed: 2026-10-12.</w:t>
      </w:r>
    </w:p>
    <w:p>
      <w:r>
        <w:t>Support and limits: Supports the next sequencing application and planned features. Forward-looking wording does not establish completed, stable Figure 03 operation. Ten-month production support differs from the supplier's eleven-month deployment description.</w:t>
      </w:r>
    </w:p>
    <w:p>
      <w:pPr>
        <w:pStyle w:val="Heading3"/>
      </w:pPr>
      <w:r>
        <w:t>H04</w:t>
      </w:r>
    </w:p>
    <w:p>
      <w:r>
        <w:t xml:space="preserve">Source: </w:t>
      </w:r>
      <w:hyperlink r:id="rId18">
        <w:r>
          <w:rPr>
            <w:color w:val="89651E"/>
          </w:rPr>
          <w:t>The Robots of Waseda: A 50-Year Journey in Humanoid Innovation</w:t>
        </w:r>
      </w:hyperlink>
      <w:r>
        <w:t>. Institution/author: Waseda University.</w:t>
      </w:r>
    </w:p>
    <w:p>
      <w:r>
        <w:t>Published: 2026-05-08. Event/statistical period: Historical milestones: WABOT-1, 1973; WABOT-2, 1984. Accessed: 2026-10-12.</w:t>
      </w:r>
    </w:p>
    <w:p>
      <w:r>
        <w:t>Support and limits: Supports institutional dates and capabilities. The first claim is qualified as widely regarded and full-scale; research milestones do not establish commercial readiness.</w:t>
      </w:r>
    </w:p>
    <w:p>
      <w:pPr>
        <w:pStyle w:val="Heading3"/>
      </w:pPr>
      <w:r>
        <w:t>H05</w:t>
      </w:r>
    </w:p>
    <w:p>
      <w:r>
        <w:t xml:space="preserve">Source: </w:t>
      </w:r>
      <w:hyperlink r:id="rId19">
        <w:r>
          <w:rPr>
            <w:color w:val="89651E"/>
          </w:rPr>
          <w:t>Honda announces the humanoid robot ASIMO</w:t>
        </w:r>
      </w:hyperlink>
      <w:r>
        <w:t>. Institution/author: Honda Motor Co.</w:t>
      </w:r>
    </w:p>
    <w:p>
      <w:r>
        <w:t>Published: 2000-11-20. Event/statistical period: R&amp;D began 1986; P2 1996; P3 1997; ASIMO announcement 2000-11-20. Accessed: 2026-10-12.</w:t>
      </w:r>
    </w:p>
    <w:p>
      <w:r>
        <w:t>Support and limits: Supports original chronology, launch specifications and controller-based operation. Later autonomous or language-model capabilities must not be projected onto the launch-era machine.</w:t>
      </w:r>
    </w:p>
    <w:p>
      <w:pPr>
        <w:pStyle w:val="Heading3"/>
      </w:pPr>
      <w:r>
        <w:t>H06</w:t>
      </w:r>
    </w:p>
    <w:p>
      <w:r>
        <w:t xml:space="preserve">Source: </w:t>
      </w:r>
      <w:hyperlink r:id="rId20">
        <w:r>
          <w:rPr>
            <w:color w:val="89651E"/>
          </w:rPr>
          <w:t>DARPA's ATLAS Robot Unveiled</w:t>
        </w:r>
      </w:hyperlink>
      <w:r>
        <w:t>. Institution/author: DARPA.</w:t>
      </w:r>
    </w:p>
    <w:p>
      <w:r>
        <w:t>Published: 2013-07-11. Event/statistical period: Team introduction 2013-07-08; platform for the 2013 trials. Accessed: 2026-10-12.</w:t>
      </w:r>
    </w:p>
    <w:p>
      <w:r>
        <w:t>Support and limits: Supports hardware and human-supervised research context. The release's anticipated 2014 final was later changed; use H07 for the actual 2015 event.</w:t>
      </w:r>
    </w:p>
    <w:p>
      <w:pPr>
        <w:pStyle w:val="Heading3"/>
      </w:pPr>
      <w:r>
        <w:t>H07</w:t>
      </w:r>
    </w:p>
    <w:p>
      <w:r>
        <w:t xml:space="preserve">Source: </w:t>
      </w:r>
      <w:hyperlink r:id="rId21">
        <w:r>
          <w:rPr>
            <w:color w:val="89651E"/>
          </w:rPr>
          <w:t>Robotics Challenge Workshop: From Better Robots to Better Futures</w:t>
        </w:r>
      </w:hyperlink>
      <w:r>
        <w:t>. Institution/author: DARPA.</w:t>
      </w:r>
    </w:p>
    <w:p>
      <w:r>
        <w:t>Published: 2015-06-08. Event/statistical period: Finals 2015-06-05 to 2015-06-06; post-event workshop. Accessed: 2026-10-12.</w:t>
      </w:r>
    </w:p>
    <w:p>
      <w:r>
        <w:t>Support and limits: Supports the completed event and KAIST's top finish. Companion prerelease supports dates and task context; planned team count must not be presented as actual participation.</w:t>
      </w:r>
    </w:p>
    <w:p>
      <w:r/>
      <w:hyperlink r:id="rId22">
        <w:r>
          <w:rPr>
            <w:color w:val="89651E"/>
          </w:rPr>
          <w:t>Companion: Twenty-five Teams From around the World to Participate in DARPA Robotics Challenge Finals; DARPA; 2015-03-05.</w:t>
        </w:r>
      </w:hyperlink>
      <w:r>
        <w:t xml:space="preserve"> Accessed: 2026-10-12.</w:t>
      </w:r>
    </w:p>
    <w:p>
      <w:pPr>
        <w:pStyle w:val="Heading3"/>
      </w:pPr>
      <w:r>
        <w:t>H08</w:t>
      </w:r>
    </w:p>
    <w:p>
      <w:r>
        <w:t xml:space="preserve">Source: </w:t>
      </w:r>
      <w:hyperlink r:id="rId23">
        <w:r>
          <w:rPr>
            <w:color w:val="89651E"/>
          </w:rPr>
          <w:t>PaLM-E: An Embodied Multimodal Language Model</w:t>
        </w:r>
      </w:hyperlink>
      <w:r>
        <w:t>. Institution/author: Danny Driess and coauthors.</w:t>
      </w:r>
    </w:p>
    <w:p>
      <w:r>
        <w:t>Published: 2023-03-06, arXiv v1. Event/statistical period: 2023 research publication; full-text Section 3 and conclusion read. Accessed: 2026-10-12.</w:t>
      </w:r>
    </w:p>
    <w:p>
      <w:r>
        <w:t>Support and limits: Supports multimodal reasoning and textual planning. Execution assumes a separate low-level policy or planner; research performance does not establish production reliability.</w:t>
      </w:r>
    </w:p>
    <w:p>
      <w:pPr>
        <w:pStyle w:val="Heading3"/>
      </w:pPr>
      <w:r>
        <w:t>H09</w:t>
      </w:r>
    </w:p>
    <w:p>
      <w:r>
        <w:t xml:space="preserve">Source: </w:t>
      </w:r>
      <w:hyperlink r:id="rId24">
        <w:r>
          <w:rPr>
            <w:color w:val="89651E"/>
          </w:rPr>
          <w:t>RT-2: Vision-Language-Action Models Transfer Web Knowledge to Robotic Control</w:t>
        </w:r>
      </w:hyperlink>
      <w:r>
        <w:t>. Institution/author: Anthony Brohan and coauthors, Google DeepMind.</w:t>
      </w:r>
    </w:p>
    <w:p>
      <w:r>
        <w:t>Published: 2023-07-28, arXiv v1. Event/statistical period: 2023 experiments; full-text Sections 3.2 and 5 read. Accessed: 2026-10-12.</w:t>
      </w:r>
    </w:p>
    <w:p>
      <w:r>
        <w:t>Support and limits: Supports action-token generation and semantic generalization. Authors explicitly limit physical skills to robot-data coverage; web knowledge does not alone confer new motions.</w:t>
      </w:r>
    </w:p>
    <w:p>
      <w:pPr>
        <w:pStyle w:val="Heading3"/>
      </w:pPr>
      <w:r>
        <w:t>H10</w:t>
      </w:r>
    </w:p>
    <w:p>
      <w:r>
        <w:t xml:space="preserve">Source: </w:t>
      </w:r>
      <w:hyperlink r:id="rId25">
        <w:r>
          <w:rPr>
            <w:color w:val="89651E"/>
          </w:rPr>
          <w:t>Open X-Embodiment: Robotic Learning Datasets and RT-X Models</w:t>
        </w:r>
      </w:hyperlink>
      <w:r>
        <w:t>. Institution/author: Open X-Embodiment Collaboration.</w:t>
      </w:r>
    </w:p>
    <w:p>
      <w:r>
        <w:t>Published: First version 2023-10-13; version read 2025-05-14, v9. Event/statistical period: Dataset as described in v9; PDF pages 1–2 read. Accessed: 2026-10-12.</w:t>
      </w:r>
    </w:p>
    <w:p>
      <w:r>
        <w:t>Support and limits: Supports 22 embodiments, 21 data-contributing institutions and manipulation-transfer research. These counts are not shipments; author affiliations and contributing institutions have different denominators.</w:t>
      </w:r>
    </w:p>
    <w:p>
      <w:pPr>
        <w:pStyle w:val="Heading3"/>
      </w:pPr>
      <w:r>
        <w:t>H11</w:t>
      </w:r>
    </w:p>
    <w:p>
      <w:r>
        <w:t xml:space="preserve">Source: </w:t>
      </w:r>
      <w:hyperlink r:id="rId26">
        <w:r>
          <w:rPr>
            <w:color w:val="89651E"/>
          </w:rPr>
          <w:t>An Electric New Era for Atlas</w:t>
        </w:r>
      </w:hyperlink>
      <w:r>
        <w:t>. Institution/author: Boston Dynamics.</w:t>
      </w:r>
    </w:p>
    <w:p>
      <w:r>
        <w:t>Published: April 2024; precise day absent from the rendered original page. Event/statistical period: April 2024 electric-platform transition; original body read; month corroborated by the institutional retrospective. Accessed: 2026-10-12.</w:t>
      </w:r>
    </w:p>
    <w:p>
      <w:r>
        <w:t>Support and limits: Supports the electric transition and staged Hyundai testing plans. Exact original publication day is unresolved; testing plans do not establish volume deployment or audited returns.</w:t>
      </w:r>
    </w:p>
    <w:p>
      <w:r/>
      <w:hyperlink r:id="rId27">
        <w:r>
          <w:rPr>
            <w:color w:val="89651E"/>
          </w:rPr>
          <w:t>Companion: Atlas' Evolution From Research Robot to Industrial Humanoid; Boston Dynamics; current page has no exposed publication date.</w:t>
        </w:r>
      </w:hyperlink>
      <w:r>
        <w:t xml:space="preserve"> Accessed: 2026-10-12.</w:t>
      </w:r>
    </w:p>
    <w:p>
      <w:pPr>
        <w:pStyle w:val="Heading3"/>
      </w:pPr>
      <w:r>
        <w:t>H12</w:t>
      </w:r>
    </w:p>
    <w:p>
      <w:r>
        <w:t xml:space="preserve">Source: </w:t>
      </w:r>
      <w:hyperlink r:id="rId28">
        <w:r>
          <w:rPr>
            <w:color w:val="89651E"/>
          </w:rPr>
          <w:t>Gemini Robotics brings AI into the physical world</w:t>
        </w:r>
      </w:hyperlink>
      <w:r>
        <w:t>. Institution/author: Google DeepMind, Carolina Parada.</w:t>
      </w:r>
    </w:p>
    <w:p>
      <w:r>
        <w:t>Published: 2025-03-12. Event/statistical period: Model and partnership announcement; primarily bi-arm training described. Accessed: 2026-10-12.</w:t>
      </w:r>
    </w:p>
    <w:p>
      <w:r>
        <w:t>Support and limits: Supports announced VLA/ER roles and platform research. Demonstrations and partnerships do not establish independent industrial acceptance or general full-body autonomy.</w:t>
      </w:r>
    </w:p>
    <w:p>
      <w:pPr>
        <w:pStyle w:val="Heading3"/>
      </w:pPr>
      <w:r>
        <w:t>H13</w:t>
      </w:r>
    </w:p>
    <w:p>
      <w:r>
        <w:t xml:space="preserve">Source: </w:t>
      </w:r>
      <w:hyperlink r:id="rId29">
        <w:r>
          <w:rPr>
            <w:color w:val="89651E"/>
          </w:rPr>
          <w:t>NVIDIA Announces Isaac GR00T N1 — the World's First Open Humanoid Robot Foundation Model — and Simulation Frameworks to Speed Robot Development</w:t>
        </w:r>
      </w:hyperlink>
      <w:r>
        <w:t>. Institution/author: NVIDIA.</w:t>
      </w:r>
    </w:p>
    <w:p>
      <w:r>
        <w:t>Published: 2025-03-18. Event/statistical period: Model and tools announcement. Accessed: 2026-10-12.</w:t>
      </w:r>
    </w:p>
    <w:p>
      <w:r>
        <w:t>Support and limits: Supports customizable reasoning/action models and post-training. The title's first claim is vendor language; openness requires license-specific qualification. Demonstrations do not establish deployed profitability.</w:t>
      </w:r>
    </w:p>
    <w:p>
      <w:pPr>
        <w:pStyle w:val="Heading3"/>
      </w:pPr>
      <w:r>
        <w:t>H14</w:t>
      </w:r>
    </w:p>
    <w:p>
      <w:r>
        <w:t xml:space="preserve">Source: </w:t>
      </w:r>
      <w:hyperlink r:id="rId30">
        <w:r>
          <w:rPr>
            <w:color w:val="89651E"/>
          </w:rPr>
          <w:t>Gemini Robotics 1.5 brings AI agents into the physical world</w:t>
        </w:r>
      </w:hyperlink>
      <w:r>
        <w:t>. Institution/author: Google DeepMind, Carolina Parada.</w:t>
      </w:r>
    </w:p>
    <w:p>
      <w:r>
        <w:t>Published: 2025-09-25. Event/statistical period: Launch-time capabilities and access arrangements. Accessed: 2026-10-12.</w:t>
      </w:r>
    </w:p>
    <w:p>
      <w:r>
        <w:t>Support and limits: Supports planning, tool use and tested cross-platform transfer. Access descriptions are launch-time; selected-platform research does not prove universal transfer, factory readiness or market-share leadership.</w:t>
      </w:r>
    </w:p>
    <w:p>
      <w:pPr>
        <w:pStyle w:val="Heading3"/>
      </w:pPr>
      <w:r>
        <w:t>H15</w:t>
      </w:r>
    </w:p>
    <w:p>
      <w:r>
        <w:t xml:space="preserve">Source: </w:t>
      </w:r>
      <w:hyperlink r:id="rId31">
        <w:r>
          <w:rPr>
            <w:color w:val="89651E"/>
          </w:rPr>
          <w:t>Boston Dynamics Unveils New Atlas Robot to Revolutionize Industry</w:t>
        </w:r>
      </w:hyperlink>
      <w:r>
        <w:t>. Institution/author: Boston Dynamics.</w:t>
      </w:r>
    </w:p>
    <w:p>
      <w:r>
        <w:t>Published: 2026-01-05. Event/statistical period: CES unveiling; manufacturing announcement; 2026 shipment/deployment plans. Accessed: 2026-10-12.</w:t>
      </w:r>
    </w:p>
    <w:p>
      <w:r>
        <w:t>Support and limits: Supports the product unveiling and announced manufacturing/deployment program. Allocated or scheduled fleets do not establish completed deliveries, disclosed unit volumes, revenue or independently verified performance.</w:t>
      </w:r>
    </w:p>
    <w:p>
      <w:pPr>
        <w:pStyle w:val="Heading3"/>
      </w:pPr>
      <w:r>
        <w:t>H16</w:t>
      </w:r>
    </w:p>
    <w:p>
      <w:r>
        <w:t xml:space="preserve">Source: </w:t>
      </w:r>
      <w:hyperlink r:id="rId32">
        <w:r>
          <w:rPr>
            <w:color w:val="89651E"/>
          </w:rPr>
          <w:t>NVIDIA Expands Open Model Families to Power the Next Wave of Agentic, Physical and Healthcare AI</w:t>
        </w:r>
      </w:hyperlink>
      <w:r>
        <w:t>. Institution/author: NVIDIA.</w:t>
      </w:r>
    </w:p>
    <w:p>
      <w:r>
        <w:t>Published: 2026-03-16. Event/statistical period: N1.7 announcement; N2 preview with expected end-2026 availability. Accessed: 2026-10-12.</w:t>
      </w:r>
    </w:p>
    <w:p>
      <w:r>
        <w:t>Support and limits: Supports the announced roadmap. Vendor viability and benchmark statements are not independently verified ROI; the N2 preview alone does not establish release before the cutoff.</w:t>
      </w:r>
    </w:p>
    <w:p>
      <w:pPr>
        <w:pStyle w:val="Heading3"/>
      </w:pPr>
      <w:r>
        <w:t>H17</w:t>
      </w:r>
    </w:p>
    <w:p>
      <w:r>
        <w:t xml:space="preserve">Source: </w:t>
      </w:r>
      <w:hyperlink r:id="rId33">
        <w:r>
          <w:rPr>
            <w:color w:val="89651E"/>
          </w:rPr>
          <w:t>Successful test of humanoid robots at BMW Group Plant Spartanburg</w:t>
        </w:r>
      </w:hyperlink>
      <w:r>
        <w:t>. Institution/author: BMW Group.</w:t>
      </w:r>
    </w:p>
    <w:p>
      <w:r>
        <w:t>Published: 2024-08-06. Event/statistical period: Several-week trial before publication; exact trial dates undisclosed. Accessed: 2026-10-12.</w:t>
      </w:r>
    </w:p>
    <w:p>
      <w:r>
        <w:t>Support and limits: Supports the initial trial and release-date status. No return timetable was established then; later pilot status uses H01. Supplier capability statements remain attributed.</w:t>
      </w:r>
    </w:p>
    <w:p>
      <w:pPr>
        <w:pStyle w:val="Heading3"/>
      </w:pPr>
      <w:r>
        <w:t>H18</w:t>
      </w:r>
    </w:p>
    <w:p>
      <w:r>
        <w:t xml:space="preserve">Source: </w:t>
      </w:r>
      <w:hyperlink r:id="rId34">
        <w:r>
          <w:rPr>
            <w:color w:val="89651E"/>
          </w:rPr>
          <w:t>Intelligence without representation</w:t>
        </w:r>
      </w:hyperlink>
      <w:r>
        <w:t>. Institution/author: Rodney A. Brooks, MIT Artificial Intelligence Laboratory.</w:t>
      </w:r>
    </w:p>
    <w:p>
      <w:r>
        <w:t>Published: 1991 journal publication; manuscript received September 1987. Event/statistical period: Historical research; Artificial Intelligence 47, pages 139–159; introduction and methods read. Accessed: 2026-10-12.</w:t>
      </w:r>
    </w:p>
    <w:p>
      <w:r>
        <w:t>Support and limits: Supports behavior-based, real-world sensing/action methodology. It establishes neither invention of all embodied intelligence nor architectural identity with contemporary foundation models.</w:t>
      </w:r>
    </w:p>
    <w:p>
      <w:pPr>
        <w:pStyle w:val="Heading3"/>
      </w:pPr>
      <w:r>
        <w:t>H19</w:t>
      </w:r>
    </w:p>
    <w:p>
      <w:r>
        <w:t xml:space="preserve">Source: </w:t>
      </w:r>
      <w:hyperlink r:id="rId35">
        <w:r>
          <w:rPr>
            <w:color w:val="89651E"/>
          </w:rPr>
          <w:t>Official interpretation of the Guiding Opinions on the Innovative Development of Humanoid Robots</w:t>
        </w:r>
      </w:hyperlink>
      <w:r>
        <w:t>. Institution/author: China's Ministry of Industry and Information Technology.</w:t>
      </w:r>
    </w:p>
    <w:p>
      <w:r>
        <w:t>Published: 2023-11-02; underlying document dated 2023-10-20. Event/statistical period: Policy targets for 2025 and 2027; document number MIIT Science [2023] 193. Accessed: 2026-10-12.</w:t>
      </w:r>
    </w:p>
    <w:p>
      <w:r>
        <w:t>Support and limits: Supports stated priorities, diagnosed gaps and policy targets. Targets are not achieved results, shipments, orders or proof of leadership across all performance measures.</w:t>
      </w:r>
    </w:p>
    <w:p>
      <w:r/>
      <w:hyperlink r:id="rId36">
        <w:r>
          <w:rPr>
            <w:color w:val="89651E"/>
          </w:rPr>
          <w:t>Underlying notice: MIIT; public release 2023-11-02; document dated 2023-10-20.</w:t>
        </w:r>
      </w:hyperlink>
      <w:r>
        <w:t xml:space="preserve"> Accessed: 2026-10-12.</w:t>
      </w:r>
    </w:p>
    <w:p>
      <w:pPr>
        <w:pStyle w:val="Heading2"/>
      </w:pPr>
      <w:r>
        <w:t>Market and company economics</w:t>
      </w:r>
    </w:p>
    <w:p>
      <w:pPr>
        <w:pStyle w:val="Heading3"/>
      </w:pPr>
      <w:r>
        <w:t>M01</w:t>
      </w:r>
    </w:p>
    <w:p>
      <w:r>
        <w:t>Publisher/author: Smart Analytics Global; Linda Sui. Published: 2026-08-10. Event/statistical period: H1 2026; H1 2025 comparator. Accessed: 2026-10-12.</w:t>
      </w:r>
    </w:p>
    <w:p>
      <w:r>
        <w:t xml:space="preserve">Original: </w:t>
      </w:r>
      <w:hyperlink r:id="rId37">
        <w:r>
          <w:rPr>
            <w:color w:val="89651E"/>
          </w:rPr>
          <w:t>SAG: Global Humanoid Robot Shipments Surged 272% YoY to 19.1K Units in 1H 2026; AGIBOT Overtook Unitree for No. 1 Position</w:t>
        </w:r>
      </w:hyperlink>
      <w:r>
        <w:t>. Location: Exhibit 1: Global Humanoid Robot Shipments and Vendor Share: 1H 2025 vs. 1H 2026; definition footnote and associated vendor paragraphs.</w:t>
      </w:r>
    </w:p>
    <w:p>
      <w:r>
        <w:t>Support and limits: Supports a global humanoid shipment-share chart under SAG's four-form definition. The original chart was inspected again on October 12, 2026. Published H1 2026 shares sum to 100%; displayed rounded vendor volumes sum to 19,000 against the printed total of 19,100. Estimates are preliminary and include wheeled robots. This is neither whole-industry embodied-intelligence share nor productive-worker stock.</w:t>
      </w:r>
    </w:p>
    <w:p>
      <w:pPr>
        <w:pStyle w:val="Heading3"/>
      </w:pPr>
      <w:r>
        <w:t>M04</w:t>
      </w:r>
    </w:p>
    <w:p>
      <w:r>
        <w:t>Publisher/author: Omdia; Lian Jye Su. Published: 2026-01-08, PDF version. Event/statistical period: Calendar 2024 and 2025; 2024–2035 forecast. Accessed: 2026-10-12.</w:t>
      </w:r>
    </w:p>
    <w:p>
      <w:r>
        <w:t xml:space="preserve">Original: </w:t>
      </w:r>
      <w:hyperlink r:id="rId38">
        <w:r>
          <w:rPr>
            <w:color w:val="89651E"/>
          </w:rPr>
          <w:t>Omdia Market Radar: General-purpose Embodied Intelligent Robots, 2026</w:t>
        </w:r>
      </w:hyperlink>
      <w:r>
        <w:t>. Location: PDF page 7, Table 1: Robotics shipments by vendor, 2024 and 2025.</w:t>
      </w:r>
    </w:p>
    <w:p>
      <w:r>
        <w:t>Support and limits: Excluded chart source. Full public PDF read and pages 7–8 visually checked. Vendor table has a 50-unit internal discrepancy; later Unitree disclosures exceed its estimate. Wheeled torso-and-arm robots qualify. The publisher says the report was updated; current subscription-only body was not accessed.</w:t>
      </w:r>
    </w:p>
    <w:p>
      <w:pPr>
        <w:pStyle w:val="Heading3"/>
      </w:pPr>
      <w:r>
        <w:t>M02</w:t>
      </w:r>
    </w:p>
    <w:p>
      <w:r>
        <w:t>Publisher/author: Counterpoint Research; Team Counterpoint. Published: 2026-01-14. Event/statistical period: Calendar 2025 additional installations. Accessed: 2026-10-12.</w:t>
      </w:r>
    </w:p>
    <w:p>
      <w:r>
        <w:t xml:space="preserve">Original: </w:t>
      </w:r>
      <w:hyperlink r:id="rId39">
        <w:r>
          <w:rPr>
            <w:color w:val="89651E"/>
          </w:rPr>
          <w:t>Global Humanoid Robot Installations Reach 16,000 Units in 2025 as Mass Production Picks Up Pace</w:t>
        </w:r>
      </w:hyperlink>
      <w:r>
        <w:t>. Location: Original public article and graphic where specified.</w:t>
      </w:r>
    </w:p>
    <w:p>
      <w:r>
        <w:t>Support and limits: Supports annual additional humanoid-installation share, with original one-decimal graphic inspected. Wheeled products are present; complete counting rules are undisclosed. Approximate units cannot produce exact vendor counts. Keep the installation metric and note the body’s apparent 2025 dateline typo; page metadata dates publication to 2026.</w:t>
      </w:r>
    </w:p>
    <w:p>
      <w:pPr>
        <w:pStyle w:val="Heading3"/>
      </w:pPr>
      <w:r>
        <w:t>M03</w:t>
      </w:r>
    </w:p>
    <w:p>
      <w:r>
        <w:t>Publisher/author: Counterpoint Research; Ethan Qi and Shaochen Wang. Published: 2026-08-20. Event/statistical period: H1 2026; full-year 2026 forecast. Accessed: 2026-10-12.</w:t>
      </w:r>
    </w:p>
    <w:p>
      <w:r>
        <w:t xml:space="preserve">Original: </w:t>
      </w:r>
      <w:hyperlink r:id="rId40">
        <w:r>
          <w:rPr>
            <w:color w:val="89651E"/>
          </w:rPr>
          <w:t>Global Humanoid Robot Shipments Soar Nearly 300% YoY in H1 2026, Driven by Commercial Deployments</w:t>
        </w:r>
      </w:hyperlink>
      <w:r>
        <w:t>. Location: Original public article and graphic where specified.</w:t>
      </w:r>
    </w:p>
    <w:p>
      <w:r>
        <w:t>Support and limits: Supports separately attributed H1 2026 shipments and application categories. The full free article was read from public page HTML, and the original vendor-share graphic was inspected on October 12, 2026. It shows AGIBOT 43.1%, Unitree 31.1%, Galbot 5.0%, UBTECH 4.4%, Leju 2.9% and others 13.4%, totaling 99.9% with a rounding note. This estimate exceeds 22,000 shipments and differs from SAG's approximately 19,100; estimates and denominators must remain separate. Wheeled robots are included. Full-year 2026 figures are forecasts. The graphic is retained as an audit comparison and is not selected as a third final share chart.</w:t>
      </w:r>
    </w:p>
    <w:p>
      <w:pPr>
        <w:pStyle w:val="Heading3"/>
      </w:pPr>
      <w:r>
        <w:t>M05</w:t>
      </w:r>
    </w:p>
    <w:p>
      <w:r>
        <w:t>Publisher/author: Unitree Robotics; distributed by PRNewswire. Published: 2026-01-29; statement dated 2026-01-22. Event/statistical period: Calendar 2025 shipments and production. Accessed: 2026-10-12.</w:t>
      </w:r>
    </w:p>
    <w:p>
      <w:r>
        <w:t xml:space="preserve">Original: </w:t>
      </w:r>
      <w:hyperlink r:id="rId41">
        <w:r>
          <w:rPr>
            <w:color w:val="89651E"/>
          </w:rPr>
          <w:t>Unitree Ranks No.1 Globally in Humanoid Robot Shipments, Exceeding 5,500 Units in 2025</w:t>
        </w:r>
      </w:hyperlink>
      <w:r>
        <w:t>. Location: Full statement numbered points 2-4.</w:t>
      </w:r>
    </w:p>
    <w:p>
      <w:r>
        <w:t>Support and limits: Supports Unitree’s self-reported pure-humanoid shipments and production distinction, excluding dual-arm wheeled products. The announcement does not supply a comparable global denominator or independently prove its ranking. Do not substitute its unit count into an older analyst table and recalculate all shares.</w:t>
      </w:r>
    </w:p>
    <w:p>
      <w:r>
        <w:t>The January company statement reports production above 6,500, while the May prospectus lists 5,716 produced humanoids for 2025. The public sources read here do not explain the entire difference; do not silently harmonize them. The prospectus separately distinguishes 5,511 shipments and 5,215 recognized sales.</w:t>
      </w:r>
    </w:p>
    <w:p>
      <w:pPr>
        <w:pStyle w:val="Heading3"/>
      </w:pPr>
      <w:r>
        <w:t>M06</w:t>
      </w:r>
    </w:p>
    <w:p>
      <w:r>
        <w:t>Publisher/author: Unitree; Shanghai Stock Exchange public filing. Published: 2026-05-25. Event/statistical period: Calendar 2025; reviewed Q1 2026. Accessed: 2026-10-12.</w:t>
      </w:r>
    </w:p>
    <w:p>
      <w:r>
        <w:t xml:space="preserve">Original: </w:t>
      </w:r>
      <w:hyperlink r:id="rId42">
        <w:r>
          <w:rPr>
            <w:color w:val="89651E"/>
          </w:rPr>
          <w:t>Unitree Response to the Exchange Review Follow-up Letter (translated title)</w:t>
        </w:r>
      </w:hyperlink>
      <w:r>
        <w:t>. Location: PDF pages 3 and8 (printed8-1-3-2,8-1-3-7).</w:t>
      </w:r>
    </w:p>
    <w:p>
      <w:r>
        <w:t>Support and limits: Supports consolidated revenue, distinct gross-margin measures and profit excluding nonrecurring items. Group business includes quadrupeds and components. Adjusted profit is not GAAP net profit or humanoid-segment profit. The short discussion’s humanoid proportion needs the full prospectus’s main-business-revenue denominator.</w:t>
      </w:r>
    </w:p>
    <w:p>
      <w:pPr>
        <w:pStyle w:val="Heading3"/>
      </w:pPr>
      <w:r>
        <w:t>M07</w:t>
      </w:r>
    </w:p>
    <w:p>
      <w:r>
        <w:t>Publisher/author: Unitree; public prospectus hosted by CNINFO. Published: 2026-05-25. Event/statistical period: Calendar 2025; 2024 comparators. Accessed: 2026-10-12.</w:t>
      </w:r>
    </w:p>
    <w:p>
      <w:r>
        <w:t xml:space="preserve">Original: </w:t>
      </w:r>
      <w:hyperlink r:id="rId43">
        <w:r>
          <w:rPr>
            <w:color w:val="89651E"/>
          </w:rPr>
          <w:t>Unitree IPO Prospectus (25 May 2026 version; translated title)</w:t>
        </w:r>
      </w:hyperlink>
      <w:r>
        <w:t>. Location: Printed1-1-138;1-1-198 to200;1-1-206 to207.</w:t>
      </w:r>
    </w:p>
    <w:p>
      <w:r>
        <w:t>Support and limits: Supports exact shipment-versus-recognized-sales counts, humanoid main-business revenue and average selling price. Acceptance timing explains part of the count difference. The revenue proportion uses main-business revenue, not consolidated revenue. Selling price reflects this company’s recognized product mix rather than a global quotation.</w:t>
      </w:r>
    </w:p>
    <w:p>
      <w:r>
        <w:t>The January company statement reports production above 6,500, while the May prospectus lists 5,716 produced humanoids for 2025. The public sources read here do not explain the entire difference; do not silently harmonize them. The prospectus separately distinguishes 5,511 shipments and 5,215 recognized sales.</w:t>
      </w:r>
    </w:p>
    <w:p>
      <w:pPr>
        <w:pStyle w:val="Heading3"/>
      </w:pPr>
      <w:r>
        <w:t>M08</w:t>
      </w:r>
    </w:p>
    <w:p>
      <w:r>
        <w:t>Publisher/author: UBTECH; Hong Kong Exchanges and Clearing. Published: 2026-03-31. Event/statistical period: Calendar 2025. Accessed: 2026-10-12.</w:t>
      </w:r>
    </w:p>
    <w:p>
      <w:r>
        <w:t xml:space="preserve">Original: </w:t>
      </w:r>
      <w:hyperlink r:id="rId44">
        <w:r>
          <w:rPr>
            <w:color w:val="89651E"/>
          </w:rPr>
          <w:t>Annual Results Announcement for the Year Ended December 31, 2025</w:t>
        </w:r>
      </w:hyperlink>
      <w:r>
        <w:t>. Location: PDF10(sales);24to28(financial review);29(non-GAAP reconciliation).</w:t>
      </w:r>
    </w:p>
    <w:p>
      <w:r>
        <w:t>Support and limits: Supports group revenue and losses alongside full-size embodied-humanoid products-and-services revenue and unit sales. The segment includes services; the group has other businesses. Do not turn group margin or loss into standalone humanoid profitability, or divide group loss by robot unit sales.</w:t>
      </w:r>
    </w:p>
    <w:p>
      <w:pPr>
        <w:pStyle w:val="Heading3"/>
      </w:pPr>
      <w:r>
        <w:t>M09</w:t>
      </w:r>
    </w:p>
    <w:p>
      <w:r>
        <w:t>Publisher/author: UBTECH; Hong Kong Exchanges and Clearing. Published: 2026-08-28. Event/statistical period: H1 2026; H1 2025 comparators. Accessed: 2026-10-12.</w:t>
      </w:r>
    </w:p>
    <w:p>
      <w:r>
        <w:t xml:space="preserve">Original: </w:t>
      </w:r>
      <w:hyperlink r:id="rId45">
        <w:r>
          <w:rPr>
            <w:color w:val="89651E"/>
          </w:rPr>
          <w:t>Interim Results Announcement for the Six Months Ended June 30, 2026</w:t>
        </w:r>
      </w:hyperlink>
      <w:r>
        <w:t>. Location: PDF pages 1–4: financial summary and revenue mix; page 12: unit sales; page 24: non-GAAP reconciliation; page 34: statutory net loss. PDF page 2 also contains loss for the period.</w:t>
      </w:r>
    </w:p>
    <w:p>
      <w:r>
        <w:t>Support and limits: Supports unaudited interim economics and a closed company revenue mix. The segment includes wheeled and bipedal forms, while acquisitions changed the group perimeter and disclosure categories. Unit sales are not analyst shipments. Internal revenue composition is not market share; half-year figures are not full-year results.</w:t>
      </w:r>
    </w:p>
    <w:p>
      <w:pPr>
        <w:pStyle w:val="Heading3"/>
      </w:pPr>
      <w:r>
        <w:t>M10</w:t>
      </w:r>
    </w:p>
    <w:p>
      <w:r>
        <w:t>Publisher/author: Figure AI. Published: 2025-09-16. Event/statistical period: Financing announcement as of 2025-09-16. Accessed: 2026-10-12.</w:t>
      </w:r>
    </w:p>
    <w:p>
      <w:r>
        <w:t xml:space="preserve">Original: </w:t>
      </w:r>
      <w:hyperlink r:id="rId46">
        <w:r>
          <w:rPr>
            <w:color w:val="89651E"/>
          </w:rPr>
          <w:t>Figure Exceeds $1B in Series C Funding at $39B Post-Money Valuation</w:t>
        </w:r>
      </w:hyperlink>
      <w:r>
        <w:t>. Location: Main funding announcement and use of proceeds bullets.</w:t>
      </w:r>
    </w:p>
    <w:p>
      <w:r>
        <w:t>Support and limits: Supports committed financing and announced private valuation, plus intended manufacturing, compute and data uses. These are not revenue, guaranteed robot orders or operating profitability. Capital commitments should not automatically be described as cash already received; investor participation does not establish supply or customer contracts.</w:t>
      </w:r>
    </w:p>
    <w:p>
      <w:pPr>
        <w:pStyle w:val="Heading3"/>
      </w:pPr>
      <w:r>
        <w:t>M11</w:t>
      </w:r>
    </w:p>
    <w:p>
      <w:r>
        <w:t>Publisher/author: Apptronik. Published: 2026-02-11. Event/statistical period: Financing announcement as of 2026-02-11. Accessed: 2026-10-12.</w:t>
      </w:r>
    </w:p>
    <w:p>
      <w:r>
        <w:t xml:space="preserve">Original: </w:t>
      </w:r>
      <w:hyperlink r:id="rId47">
        <w:r>
          <w:rPr>
            <w:color w:val="89651E"/>
          </w:rPr>
          <w:t>Apptronik Closes Over $935 Million Series A with New $520 Million Extension Round</w:t>
        </w:r>
      </w:hyperlink>
      <w:r>
        <w:t>. Location: Funding and commercial partnerships paragraphs.</w:t>
      </w:r>
    </w:p>
    <w:p>
      <w:r>
        <w:t>Support and limits: Supports the extension and combined Series A total, plus named company partnerships. Do not double-count the extension inside the accumulated round total. Partners and pilots do not establish unit shipments, contract revenue or capacity utilization. The release does not disclose an absolute company valuation.</w:t>
      </w:r>
    </w:p>
    <w:p>
      <w:pPr>
        <w:pStyle w:val="Heading2"/>
      </w:pPr>
      <w:r>
        <w:t>Models components and operating constraints</w:t>
      </w:r>
    </w:p>
    <w:p>
      <w:pPr>
        <w:pStyle w:val="Heading3"/>
      </w:pPr>
      <w:r>
        <w:t>V02</w:t>
      </w:r>
    </w:p>
    <w:p>
      <w:r>
        <w:t>Institution: NVIDIA Research. Published: 2025-12-15. Event/period: N1.6 research release. Read: 2026-10-12.</w:t>
      </w:r>
    </w:p>
    <w:p>
      <w:r/>
      <w:hyperlink r:id="rId48">
        <w:r>
          <w:rPr>
            <w:color w:val="89651E"/>
          </w:rPr>
          <w:t>GR00T N1.6: An Improved Open Foundation Model for Generalist Humanoid Robots</w:t>
        </w:r>
      </w:hyperlink>
      <w:r/>
    </w:p>
    <w:p>
      <w:r>
        <w:t>Support/limits: N1.6 combines additional training data with evaluation on several real robot platforms. Research results and accelerated videos do not demonstrate production reliability or deployment without adaptation.</w:t>
      </w:r>
    </w:p>
    <w:p>
      <w:pPr>
        <w:pStyle w:val="Heading3"/>
      </w:pPr>
      <w:r>
        <w:t>V03</w:t>
      </w:r>
    </w:p>
    <w:p>
      <w:r>
        <w:t>Institution: NVIDIA Developer Blog. Published: 2025-08-25. Event/period: General availability 2025-08-25; vendor benchmarks. Read: 2026-10-12.</w:t>
      </w:r>
    </w:p>
    <w:p>
      <w:r/>
      <w:hyperlink r:id="rId49">
        <w:r>
          <w:rPr>
            <w:color w:val="89651E"/>
          </w:rPr>
          <w:t>Introducing NVIDIA Jetson Thor, the Ultimate Platform for Physical AI</w:t>
        </w:r>
      </w:hyperlink>
      <w:r/>
    </w:p>
    <w:p>
      <w:r>
        <w:t>Support/limits: Thor supplies computing and development infrastructure. Module power and sparse FP4 throughput are specified measures, not total robot consumption, battery life or installed-system cost. Main text and tables were read, excluding the AI-generated summary.</w:t>
      </w:r>
    </w:p>
    <w:p>
      <w:pPr>
        <w:pStyle w:val="Heading3"/>
      </w:pPr>
      <w:r>
        <w:t>V05</w:t>
      </w:r>
    </w:p>
    <w:p>
      <w:r>
        <w:t>Institution: Physical Intelligence; Kevin Black et al.. Published: 2025-04-22. Event/period: Research experiments reported in v1. Read: 2026-10-12.</w:t>
      </w:r>
    </w:p>
    <w:p>
      <w:r/>
      <w:hyperlink r:id="rId50">
        <w:r>
          <w:rPr>
            <w:color w:val="89651E"/>
          </w:rPr>
          <w:t>π0.5: a Vision-Language-Action Model with Open-World Generalization</w:t>
        </w:r>
      </w:hyperlink>
      <w:r/>
    </w:p>
    <w:p>
      <w:r>
        <w:t>Support/limits: Research demonstrates manipulation in unseen homes while reporting handle, occlusion, context and subtask-selection limitations. A research system is not a shipped consumer service; some cancelled evaluation episodes were removed.</w:t>
      </w:r>
    </w:p>
    <w:p>
      <w:pPr>
        <w:pStyle w:val="Heading3"/>
      </w:pPr>
      <w:r>
        <w:t>V06</w:t>
      </w:r>
    </w:p>
    <w:p>
      <w:r>
        <w:t>Institution: Harmonic Drive LLC. Published: not disclosed; official page observed on cutoff. Event/period: Official product/technology page observed on 2026-10-12. Read: 2026-10-12.</w:t>
      </w:r>
    </w:p>
    <w:p>
      <w:r/>
      <w:hyperlink r:id="rId51">
        <w:r>
          <w:rPr>
            <w:color w:val="89651E"/>
          </w:rPr>
          <w:t>Harmonic Drive Strain Wave Gear Technology</w:t>
        </w:r>
      </w:hyperlink>
      <w:r/>
    </w:p>
    <w:p>
      <w:r>
        <w:t>Support/limits: Supports classification of strain-wave transmission and its three principal components. The manufacturer page does not identify supply contracts with the humanoid OEMs in this report or establish complete-robot accuracy.</w:t>
      </w:r>
    </w:p>
    <w:p>
      <w:pPr>
        <w:pStyle w:val="Heading3"/>
      </w:pPr>
      <w:r>
        <w:t>V07</w:t>
      </w:r>
    </w:p>
    <w:p>
      <w:r>
        <w:t>Institution: maxon. Published: not disclosed; official page observed on cutoff. Event/period: Official product page observed on 2026-10-12. Read: 2026-10-12.</w:t>
      </w:r>
    </w:p>
    <w:p>
      <w:r/>
      <w:hyperlink r:id="rId52">
        <w:r>
          <w:rPr>
            <w:color w:val="89651E"/>
          </w:rPr>
          <w:t>High Efficiency Robotic Joints</w:t>
        </w:r>
      </w:hyperlink>
      <w:r/>
    </w:p>
    <w:p>
      <w:r>
        <w:t>Support/limits: Supports integrated quasi-direct-drive joints, separate peak/continuous ratings, and humanoid/mobile-manipulation applications. Functional safety is described as under development. Inclusion as a representative supplier does not establish an OEM contract.</w:t>
      </w:r>
    </w:p>
    <w:p>
      <w:pPr>
        <w:pStyle w:val="Heading3"/>
      </w:pPr>
      <w:r>
        <w:t>V08</w:t>
      </w:r>
    </w:p>
    <w:p>
      <w:r>
        <w:t>Institution: GelSight. Published: not disclosed; official page observed on cutoff. Event/period: Official product page observed on 2026-10-12. Read: 2026-10-12.</w:t>
      </w:r>
    </w:p>
    <w:p>
      <w:r/>
      <w:hyperlink r:id="rId53">
        <w:r>
          <w:rPr>
            <w:color w:val="89651E"/>
          </w:rPr>
          <w:t>DIGIT Tactile Sensor</w:t>
        </w:r>
      </w:hyperlink>
      <w:r/>
    </w:p>
    <w:p>
      <w:r>
        <w:t>Support/limits: Supports tactile research-sensor classification and model-training use. GelSight DIGIT is distinct from Agility Digit. No humanoid OEM supply relationship or complete-robot safety claim is established.</w:t>
      </w:r>
    </w:p>
    <w:p>
      <w:pPr>
        <w:pStyle w:val="Heading3"/>
      </w:pPr>
      <w:r>
        <w:t>V09</w:t>
      </w:r>
    </w:p>
    <w:p>
      <w:r>
        <w:t>Institution: Orbbec. Published: 2025-08-28. Event/period: Compatibility integration announcement. Read: 2026-10-12.</w:t>
      </w:r>
    </w:p>
    <w:p>
      <w:r/>
      <w:hyperlink r:id="rId54">
        <w:r>
          <w:rPr>
            <w:color w:val="89651E"/>
          </w:rPr>
          <w:t>Humanoid Robots See Smarter: Orbbec 3D Cameras Are Integrated with NVIDIA Jetson Thor</w:t>
        </w:r>
      </w:hyperlink>
      <w:r/>
    </w:p>
    <w:p>
      <w:r>
        <w:t>Support/limits: Documents Gemini 330 depth-camera integration with Jetson Thor, illustrating visual sensing and computing interfaces. Compatibility does not establish supply contracts with all humanoid manufacturers or quantify their deployment performance.</w:t>
      </w:r>
    </w:p>
    <w:p>
      <w:pPr>
        <w:pStyle w:val="Heading3"/>
      </w:pPr>
      <w:r>
        <w:t>V10</w:t>
      </w:r>
    </w:p>
    <w:p>
      <w:r>
        <w:t>Institution: Unitree Robotics. Published: not disclosed; official page observed on cutoff. Event/period: Official specifications and prices observed on 2026-10-12. Read: 2026-10-12.</w:t>
      </w:r>
    </w:p>
    <w:p>
      <w:r/>
      <w:hyperlink r:id="rId55">
        <w:r>
          <w:rPr>
            <w:color w:val="89651E"/>
          </w:rPr>
          <w:t>Unitree G1</w:t>
        </w:r>
      </w:hyperlink>
      <w:r/>
    </w:p>
    <w:p>
      <w:r>
        <w:t>Support/limits: Supports G1/G1 EDU configuration and development-access distinctions; arm load depends on posture. Specifications are vendor-rated and scenario-dependent. The undated page's current price is not used to reconstruct historical pricing.</w:t>
      </w:r>
    </w:p>
    <w:p>
      <w:pPr>
        <w:pStyle w:val="Heading3"/>
      </w:pPr>
      <w:r>
        <w:t>V11</w:t>
      </w:r>
    </w:p>
    <w:p>
      <w:r>
        <w:t>Institution: AGIBOT. Published: 2026-06-28. Event/period: Cumulative production milestone through 2026-06-28. Read: 2026-10-12.</w:t>
      </w:r>
    </w:p>
    <w:p>
      <w:r/>
      <w:hyperlink r:id="rId56">
        <w:r>
          <w:rPr>
            <w:color w:val="89651E"/>
          </w:rPr>
          <w:t>AGIBOT’s 15,000th Robot Rolls Off the Production Line, Marking a New Milestone in Embodied AI Deployment</w:t>
        </w:r>
      </w:hyperlink>
      <w:r/>
    </w:p>
    <w:p>
      <w:r>
        <w:t>Support/limits: Documents a cumulative production milestone and an integrated model/hardware business. Production roll-off is not annual sales, customer acceptance or an installed working fleet; the announcement covers a mixed product portfolio.</w:t>
      </w:r>
    </w:p>
    <w:p>
      <w:pPr>
        <w:pStyle w:val="Heading3"/>
      </w:pPr>
      <w:r>
        <w:t>V12</w:t>
      </w:r>
    </w:p>
    <w:p>
      <w:r>
        <w:t>Institution: AGIBOT. Published: not disclosed; official page observed on cutoff. Event/period: AGIBOT WORLD 2026 release; observed on cutoff. Read: 2026-10-12.</w:t>
      </w:r>
    </w:p>
    <w:p>
      <w:r/>
      <w:hyperlink r:id="rId57">
        <w:r>
          <w:rPr>
            <w:color w:val="89651E"/>
          </w:rPr>
          <w:t>AGIBOT Open-Sources ‘AGIBOT WORLD 2026’ Dataset to Accelerate Embodied AI Development</w:t>
        </w:r>
      </w:hyperlink>
      <w:r/>
    </w:p>
    <w:p>
      <w:r>
        <w:t>Support/limits: Describes synchronized multimodal and teleoperated collection with annotated error recovery. Official publication date is absent. The description is not an independent data-quality audit, and dataset redistribution requires separate license verification.</w:t>
      </w:r>
    </w:p>
    <w:p>
      <w:pPr>
        <w:pStyle w:val="Heading3"/>
      </w:pPr>
      <w:r>
        <w:t>V13</w:t>
      </w:r>
    </w:p>
    <w:p>
      <w:r>
        <w:t>Institution: AGIBOT. Published: not disclosed; official page observed on cutoff. Event/period: Commercial service menu observed on 2026-10-12. Read: 2026-10-12.</w:t>
      </w:r>
    </w:p>
    <w:p>
      <w:r/>
      <w:hyperlink r:id="rId58">
        <w:r>
          <w:rPr>
            <w:color w:val="89651E"/>
          </w:rPr>
          <w:t>AGIBOT Data Service / DaaS</w:t>
        </w:r>
      </w:hyperlink>
      <w:r/>
    </w:p>
    <w:p>
      <w:r>
        <w:t>Support/limits: Lists customized data, collection environments, system rental and thematic subscriptions. This supports a data-service business role, not disclosed revenue, pricing, savings or profitability. The live official page has no publication date.</w:t>
      </w:r>
    </w:p>
    <w:p>
      <w:pPr>
        <w:pStyle w:val="Heading3"/>
      </w:pPr>
      <w:r>
        <w:t>V15</w:t>
      </w:r>
    </w:p>
    <w:p>
      <w:r>
        <w:t>Institution: UBTECH Robotics. Published: not disclosed; official page observed on cutoff. Event/period: Official product page observed on 2026-10-12. Read: 2026-10-12.</w:t>
      </w:r>
    </w:p>
    <w:p>
      <w:r/>
      <w:hyperlink r:id="rId59">
        <w:r>
          <w:rPr>
            <w:color w:val="89651E"/>
          </w:rPr>
          <w:t>UBTECH Industrial Humanoid Robot Walker S2</w:t>
        </w:r>
      </w:hyperlink>
      <w:r/>
    </w:p>
    <w:p>
      <w:r>
        <w:t>Support/limits: Vendor advertises autonomous battery exchange within three minutes with a dual-battery system and stations. A replenishment capability is not audited 24/7 availability and does not disclose maintenance downtime or full lifecycle cost.</w:t>
      </w:r>
    </w:p>
    <w:p>
      <w:pPr>
        <w:pStyle w:val="Heading3"/>
      </w:pPr>
      <w:r>
        <w:t>V16</w:t>
      </w:r>
    </w:p>
    <w:p>
      <w:r>
        <w:t>Institution: Figure AI. Published: 2025-11-19. Event/period: Eleven-month deployment; daily operating period within it. Read: 2026-10-12.</w:t>
      </w:r>
    </w:p>
    <w:p>
      <w:r/>
      <w:hyperlink r:id="rId60">
        <w:r>
          <w:rPr>
            <w:color w:val="89651E"/>
          </w:rPr>
          <w:t>F.02 Contributed to the Production of 30,000 Cars at BMW</w:t>
        </w:r>
      </w:hyperlink>
      <w:r/>
    </w:p>
    <w:p>
      <w:r>
        <w:t>Support/limits: Identifies forearm reliability and thermal constraints and defines operational KPIs. Stated accuracy and intervention targets remain targets.</w:t>
      </w:r>
    </w:p>
    <w:p>
      <w:pPr>
        <w:pStyle w:val="Heading3"/>
      </w:pPr>
      <w:r>
        <w:t>V19</w:t>
      </w:r>
    </w:p>
    <w:p>
      <w:r>
        <w:t>Institution: Boston Dynamics. Published: not disclosed; official page observed on cutoff. Event/period: Official product roadmap/specifications observed on 2026-10-12. Read: 2026-10-12.</w:t>
      </w:r>
    </w:p>
    <w:p>
      <w:r/>
      <w:hyperlink r:id="rId61">
        <w:r>
          <w:rPr>
            <w:color w:val="89651E"/>
          </w:rPr>
          <w:t>Atlas Humanoid Robot</w:t>
        </w:r>
      </w:hyperlink>
      <w:r/>
    </w:p>
    <w:p>
      <w:r>
        <w:t>Support/limits: Distinguishes instantaneous and sustained payload, rated battery life, enterprise interfaces and an early-customer journey. Product specifications are not average achieved customer productivity; price, installation scale and ROI are not disclosed here.</w:t>
      </w:r>
    </w:p>
    <w:p>
      <w:pPr>
        <w:pStyle w:val="Heading3"/>
      </w:pPr>
      <w:r>
        <w:t>V20</w:t>
      </w:r>
    </w:p>
    <w:p>
      <w:r>
        <w:t>Institution: 1X Technologies. Published: 2025-10-28. Event/period: Consumer preorders and planned 2026 initial deliveries. Read: 2026-10-12.</w:t>
      </w:r>
    </w:p>
    <w:p>
      <w:r/>
      <w:hyperlink r:id="rId62">
        <w:r>
          <w:rPr>
            <w:color w:val="89651E"/>
          </w:rPr>
          <w:t>NEO Home Robot | Order Today</w:t>
        </w:r>
      </w:hyperlink>
      <w:r/>
    </w:p>
    <w:p>
      <w:r>
        <w:t>Support/limits: Documents the NEO preorder proposition, basic initial autonomy and expert guidance. Intended consumer delivery and advertised capabilities are not independently verified delivered units, unrestricted household competence or profitable autonomous labor.</w:t>
      </w:r>
    </w:p>
    <w:p>
      <w:pPr>
        <w:pStyle w:val="Heading3"/>
      </w:pPr>
      <w:r>
        <w:t>V21</w:t>
      </w:r>
    </w:p>
    <w:p>
      <w:r>
        <w:t>Institution: 1X Technologies. Published: not disclosed; official page observed on cutoff. Event/period: Official current order terms/specifications observed on 2026-10-12. Read: 2026-10-12.</w:t>
      </w:r>
    </w:p>
    <w:p>
      <w:r/>
      <w:hyperlink r:id="rId63">
        <w:r>
          <w:rPr>
            <w:color w:val="89651E"/>
          </w:rPr>
          <w:t>Order NEO</w:t>
        </w:r>
      </w:hyperlink>
      <w:r/>
    </w:p>
    <w:p>
      <w:r>
        <w:t>Support/limits: Describes basic autonomy, scheduled Expert Mode and remote-control options, with different ownership/subscription packages. The offering does not disclose the intervention share or full operating cost; battery runtime is a vendor rating.</w:t>
      </w:r>
    </w:p>
    <w:p>
      <w:pPr>
        <w:pStyle w:val="Heading3"/>
      </w:pPr>
      <w:r>
        <w:t>V22</w:t>
      </w:r>
    </w:p>
    <w:p>
      <w:r>
        <w:t>Institution: Tesla / U.S. SEC. Published: 2026-07-23. Event/period: H1 and Q2 2026. Read: 2026-10-12.</w:t>
      </w:r>
    </w:p>
    <w:p>
      <w:r/>
      <w:hyperlink r:id="rId64">
        <w:r>
          <w:rPr>
            <w:color w:val="89651E"/>
          </w:rPr>
          <w:t>Tesla Form 10-Q for quarter ended June 30, 2026</w:t>
        </w:r>
      </w:hyperlink>
      <w:r/>
    </w:p>
    <w:p>
      <w:r>
        <w:t>Support/limits: Describes Optimus development and large-scale production preparation. This filing does not disclose standalone robot sales, revenue or profit. EDGAR confirms filing date July 23, 2026; the report covers June 30, 2026.</w:t>
      </w:r>
    </w:p>
    <w:p>
      <w:pPr>
        <w:pStyle w:val="Heading3"/>
      </w:pPr>
      <w:r>
        <w:t>V23</w:t>
      </w:r>
    </w:p>
    <w:p>
      <w:r>
        <w:t>Institution: ISO. Published: 2025-02-05. Event/period: Third edition industrial robot design standard. Read: 2026-10-12.</w:t>
      </w:r>
    </w:p>
    <w:p>
      <w:r/>
      <w:hyperlink r:id="rId65">
        <w:r>
          <w:rPr>
            <w:color w:val="89651E"/>
          </w:rPr>
          <w:t>ISO 10218-1:2025 — Robotics — Safety requirements — Part 1: Industrial robots</w:t>
        </w:r>
      </w:hyperlink>
      <w:r/>
    </w:p>
    <w:p>
      <w:r>
        <w:t>Support/limits: Public scope covers industrial-robot design with specified exclusions, including household/public service and mobility hazards. The paid complete standard was not read; no company's certification is inferred.</w:t>
      </w:r>
    </w:p>
    <w:p>
      <w:pPr>
        <w:pStyle w:val="Heading3"/>
      </w:pPr>
      <w:r>
        <w:t>V24</w:t>
      </w:r>
    </w:p>
    <w:p>
      <w:r>
        <w:t>Institution: ISO. Published: 2025-02-05. Event/period: Second edition application/integration standard. Read: 2026-10-12.</w:t>
      </w:r>
    </w:p>
    <w:p>
      <w:r/>
      <w:hyperlink r:id="rId66">
        <w:r>
          <w:rPr>
            <w:color w:val="89651E"/>
          </w:rPr>
          <w:t>ISO 10218-2:2025 — Robotics — Safety requirements — Part 2: Industrial robot applications and robot cells</w:t>
        </w:r>
      </w:hyperlink>
      <w:r/>
    </w:p>
    <w:p>
      <w:r>
        <w:t>Support/limits: Public scope covers industrial applications and integration rather than only the robot body. Its use exclusions remain material. The paid complete standard was not read, and conformity is not independently assessed.</w:t>
      </w:r>
    </w:p>
    <w:p>
      <w:pPr>
        <w:pStyle w:val="Heading3"/>
      </w:pPr>
      <w:r>
        <w:t>V25</w:t>
      </w:r>
    </w:p>
    <w:p>
      <w:r>
        <w:t>Institution: ISO. Published: 2014-02. Event/period: Personal care robot standard; confirmed 2020; live page says to be revised. Read: 2026-10-12.</w:t>
      </w:r>
    </w:p>
    <w:p>
      <w:r/>
      <w:hyperlink r:id="rId67">
        <w:r>
          <w:rPr>
            <w:color w:val="89651E"/>
          </w:rPr>
          <w:t>ISO 13482:2014 — Robots and robotic devices — Safety requirements for personal care robots</w:t>
        </w:r>
      </w:hyperlink>
      <w:r/>
    </w:p>
    <w:p>
      <w:r>
        <w:t>Support/limits: Public abstract covers defined personal-care categories with exclusions, including industrial and medical-device robots. It is not a universal humanoid standard. The complete paid text was not read; dated collision-data cautions are not generalized to 2026.</w:t>
      </w:r>
    </w:p>
    <w:p>
      <w:pPr>
        <w:pStyle w:val="Heading3"/>
      </w:pPr>
      <w:r>
        <w:t>V26</w:t>
      </w:r>
    </w:p>
    <w:p>
      <w:r>
        <w:t>Institution: Association for Advancing Automation (A3). Published: 2026-10-09. Event/period: 2026 standards update webinar; R15.08 Part 3 June 2026. Read: 2026-10-12.</w:t>
      </w:r>
    </w:p>
    <w:p>
      <w:r/>
      <w:hyperlink r:id="rId68">
        <w:r>
          <w:rPr>
            <w:color w:val="89651E"/>
          </w:rPr>
          <w:t>New Developments in Mobile Robot Safety and Interoperability</w:t>
        </w:r>
      </w:hyperlink>
      <w:r/>
    </w:p>
    <w:p>
      <w:r>
        <w:t>Support/limits: A3's account of its standards work covers dynamically stable mobile robots, bystanders and lifecycle risk assessment. It supports safety considerations and standard-development status, not certification of a specific robot or the absence of applicable standards.</w:t>
      </w:r>
    </w:p>
    <w:p>
      <w:pPr>
        <w:pStyle w:val="Heading3"/>
      </w:pPr>
      <w:r>
        <w:t>V27</w:t>
      </w:r>
    </w:p>
    <w:p>
      <w:r>
        <w:t>Institution: Agility Robotics / FORT Robotics. Published: 2026-10-01. Event/period: MOU for Digit5; prior versions &gt;65,000 operating hours. Read: 2026-10-12.</w:t>
      </w:r>
    </w:p>
    <w:p>
      <w:r/>
      <w:hyperlink r:id="rId69">
        <w:r>
          <w:rPr>
            <w:color w:val="89651E"/>
          </w:rPr>
          <w:t>Agility and FORT Robotics Announce Strategic Partnership to Advance Humanoid Robot Safety</w:t>
        </w:r>
      </w:hyperlink>
      <w:r/>
    </w:p>
    <w:p>
      <w:r>
        <w:t>Support/limits: The MOU describes planned Digit 5 safety interfaces and safeguards. Planned cooperation and anticipated functionality are not a deployed certification; predecessor operating hours must not be assigned to Digit 5.</w:t>
      </w:r>
    </w:p>
    <w:p>
      <w:pPr>
        <w:pStyle w:val="Heading3"/>
      </w:pPr>
      <w:r>
        <w:t>V28</w:t>
      </w:r>
    </w:p>
    <w:p>
      <w:r>
        <w:t>Institution: European Commission AI Act Service Desk. Published: not disclosed; official page observed on cutoff. Event/period: Article6(1) explanatory page observed on cutoff. Read: 2026-10-12.</w:t>
      </w:r>
    </w:p>
    <w:p>
      <w:r/>
      <w:hyperlink r:id="rId70">
        <w:r>
          <w:rPr>
            <w:color w:val="89651E"/>
          </w:rPr>
          <w:t>High-risk AI in regulated products</w:t>
        </w:r>
      </w:hyperlink>
      <w:r/>
    </w:p>
    <w:p>
      <w:r>
        <w:t>Support/limits: Explains cumulative product-related high-risk AI conditions involving Annex I coverage and third-party assessment. It does not classify every AI robot alike. The undated official guidance is used for conditions, without asserting amended implementation dates.</w:t>
      </w:r>
    </w:p>
    <w:p>
      <w:pPr>
        <w:pStyle w:val="Heading3"/>
      </w:pPr>
      <w:r>
        <w:t>V30</w:t>
      </w:r>
    </w:p>
    <w:p>
      <w:r>
        <w:t>Institution: ATI Industrial Automation. Published: not disclosed; official page observed on cutoff. Event/period: Official product category observed on cutoff. Read: 2026-10-12.</w:t>
      </w:r>
    </w:p>
    <w:p>
      <w:r/>
      <w:hyperlink r:id="rId71">
        <w:r>
          <w:rPr>
            <w:color w:val="89651E"/>
          </w:rPr>
          <w:t>Multi-Axis Force / Torque Sensors</w:t>
        </w:r>
      </w:hyperlink>
      <w:r/>
    </w:p>
    <w:p>
      <w:r>
        <w:t>Support/limits: Supports six-axis force/torque sensing and industrial/research uses. It is a product-category source, not evidence of supply to the named humanoid OEMs, tactile-array equivalence or conformity of a completed machine.</w:t>
      </w:r>
    </w:p>
    <w:p>
      <w:pPr>
        <w:pStyle w:val="Heading2"/>
      </w:pPr>
      <w:r>
        <w:t>Adjacent market statistics</w:t>
      </w:r>
    </w:p>
    <w:p>
      <w:pPr>
        <w:pStyle w:val="Heading3"/>
      </w:pPr>
      <w:r>
        <w:t>R01</w:t>
      </w:r>
    </w:p>
    <w:p>
      <w:r>
        <w:t xml:space="preserve">Source: </w:t>
      </w:r>
      <w:hyperlink r:id="rId72">
        <w:r>
          <w:rPr>
            <w:color w:val="89651E"/>
          </w:rPr>
          <w:t>Five Million Robots now Operate in Factories Globally</w:t>
        </w:r>
      </w:hyperlink>
      <w:r>
        <w:t>. International Federation of Robotics. Published 2026-09-24; statistical period 2025; read 2026-10-12. Location: opening paragraph.</w:t>
      </w:r>
    </w:p>
    <w:p>
      <w:r>
        <w:t>Support and limits: Worldwide industrial-robot units; stock and annual installations remain separate. Neither measures humanoids or embodied AI adoption.</w:t>
      </w:r>
    </w:p>
    <w:p>
      <w:pPr>
        <w:pStyle w:val="Heading3"/>
      </w:pPr>
      <w:r>
        <w:t>R02</w:t>
      </w:r>
    </w:p>
    <w:p>
      <w:r>
        <w:t xml:space="preserve">Source: </w:t>
      </w:r>
      <w:hyperlink r:id="rId73">
        <w:r>
          <w:rPr>
            <w:color w:val="89651E"/>
          </w:rPr>
          <w:t>Global Sales of Professional Service Robots Surge 24%</w:t>
        </w:r>
      </w:hyperlink>
      <w:r>
        <w:t>. International Federation of Robotics. Published 2026-09-30; statistical period 2025; read 2026-10-12. Location: Humanoid Robots section.</w:t>
      </w:r>
    </w:p>
    <w:p>
      <w:r>
        <w:t>Support and limits: Sales of full-size humanoids above 140 cm for commercial/professional uses beyond research and entertainment. Its narrow scope cannot be mixed with wider humanoid counts.</w:t>
      </w:r>
    </w:p>
    <w:p>
      <w:pPr>
        <w:pStyle w:val="Heading3"/>
      </w:pPr>
      <w:r>
        <w:t>R03</w:t>
      </w:r>
    </w:p>
    <w:p>
      <w:r>
        <w:t xml:space="preserve">Source: </w:t>
      </w:r>
      <w:hyperlink r:id="rId74">
        <w:r>
          <w:rPr>
            <w:color w:val="89651E"/>
          </w:rPr>
          <w:t>Market Presentation World Robotics Press Conference 2026</w:t>
        </w:r>
      </w:hyperlink>
      <w:r>
        <w:t>. International Federation of Robotics. Published 2026-09-24; statistical period 2025; read 2026-10-12. Location: printed pages 28–29, sample note and application pie.</w:t>
      </w:r>
    </w:p>
    <w:p>
      <w:r>
        <w:t>Support and limits: Producer survey; not extrapolated and not comparable across changing survey waves. Figure 3 preserves six rounded shares totaling 100%; reported units total 249,568. No normalization or inferred precision.</w:t>
      </w:r>
    </w:p>
    <w:p>
      <w:pPr>
        <w:pStyle w:val="Heading2"/>
      </w:pPr>
      <w:r>
        <w:t>Market access and regulation</w:t>
      </w:r>
    </w:p>
    <w:p>
      <w:pPr>
        <w:pStyle w:val="Heading3"/>
      </w:pPr>
      <w:r>
        <w:t>V33</w:t>
      </w:r>
    </w:p>
    <w:p>
      <w:r>
        <w:t>FCC’s Public Safety and Homeland Security Bureau Announces Addition of Foreign-Produced Power Inverters and Advanced Robotic Devices to FCC Covered List</w:t>
      </w:r>
    </w:p>
    <w:p>
      <w:r>
        <w:t>Federal Communications Commission | Published 2026-07-28 | Read 2026-10-12</w:t>
      </w:r>
    </w:p>
    <w:p>
      <w:r/>
      <w:hyperlink r:id="rId75">
        <w:r>
          <w:rPr>
            <w:color w:val="89651E"/>
          </w:rPr>
          <w:t>Original source</w:t>
        </w:r>
      </w:hyperlink>
      <w:r/>
    </w:p>
    <w:p>
      <w:r>
        <w:t>Adds foreign-produced advanced robotic devices, with DoW conditional approvals excepted; covered equipment cannot receive FCC equipment authorizations. The notice classifies equipment by production rather than by named entity. Appendix C is scanned and its content was not extracted/read. Detailed device-definition conditions are supported by V34, the official FAQ. Do not describe this as a universal prohibition on all existing foreign robots or a China-only measure.</w:t>
      </w:r>
    </w:p>
    <w:p>
      <w:r>
        <w:t>Locator: Main notice printed pages 2–4; Appendix A listing</w:t>
      </w:r>
    </w:p>
    <w:p>
      <w:pPr>
        <w:pStyle w:val="Heading3"/>
      </w:pPr>
      <w:r>
        <w:t>V34</w:t>
      </w:r>
    </w:p>
    <w:p>
      <w:r>
        <w:t>FAQs on Recent Updates to FCC Covered List Regarding Foreign-Produced Advanced Robotic Devices and Power Inverters</w:t>
      </w:r>
    </w:p>
    <w:p>
      <w:r>
        <w:t>Federal Communications Commission | Published not disclosed | Read 2026-10-12</w:t>
      </w:r>
    </w:p>
    <w:p>
      <w:r/>
      <w:hyperlink r:id="rId76">
        <w:r>
          <w:rPr>
            <w:color w:val="89651E"/>
          </w:rPr>
          <w:t>Original source</w:t>
        </w:r>
      </w:hyperlink>
      <w:r/>
    </w:p>
    <w:p>
      <w:r>
        <w:t>Explains device-definition criteria, exclusions, country-neutral production test, and distinction between new authorization restrictions and previously authorized models. Existing-model importing/marketing/selling and lawful consumer use are not prohibited by the July addition itself. Undated official live page observed at cutoff; not an individualized compliance determination. Several FAQ paragraphs contain apparent copy/paste or formatting errors, including a router reference in a robotics exemption answer. Use the clear corresponding primary public notices for approvals.</w:t>
      </w:r>
    </w:p>
    <w:p>
      <w:r>
        <w:t>Locator: Restrictions; practical impact; advanced robotic device definition; foreign-produced definition; entity nationality; country targeting</w:t>
      </w:r>
    </w:p>
    <w:p>
      <w:pPr>
        <w:pStyle w:val="Heading3"/>
      </w:pPr>
      <w:r>
        <w:t>V35</w:t>
      </w:r>
    </w:p>
    <w:p>
      <w:r>
        <w:t>FCC’s Public Safety and Homeland Security Bureau Announces Conditional Approval and Exemption of Certain Advanced Robotic Devices from FCC Covered List</w:t>
      </w:r>
    </w:p>
    <w:p>
      <w:r>
        <w:t>Federal Communications Commission | Published 2026-09-18 | Read 2026-10-12</w:t>
      </w:r>
    </w:p>
    <w:p>
      <w:r/>
      <w:hyperlink r:id="rId77">
        <w:r>
          <w:rPr>
            <w:color w:val="89651E"/>
          </w:rPr>
          <w:t>Original source</w:t>
        </w:r>
      </w:hyperlink>
      <w:r/>
    </w:p>
    <w:p>
      <w:r>
        <w:t>Announces conditional exemption for ANSCER Robotics AR250, AR650 and AR1250; ongoing compliance with the stated onshoring plan and updated product vetting is required. Model-specific conditional approval, not exemption for all ANSCER products, all AMRs, or all humanoids. No other robot maker’s approval is inferred.</w:t>
      </w:r>
    </w:p>
    <w:p>
      <w:r>
        <w:t>Locator: Main notice printed pages 1–2, Conditional Approvals</w:t>
      </w:r>
    </w:p>
    <w:p>
      <w:pPr>
        <w:pStyle w:val="Heading3"/>
      </w:pPr>
      <w:r>
        <w:t>V36</w:t>
      </w:r>
    </w:p>
    <w:p>
      <w:r>
        <w:t>AI Omnibus enters into force</w:t>
      </w:r>
    </w:p>
    <w:p>
      <w:r>
        <w:t>European Commission DG CONNECT | Published 2026-07-27 | Read 2026-10-12</w:t>
      </w:r>
    </w:p>
    <w:p>
      <w:r/>
      <w:hyperlink r:id="rId78">
        <w:r>
          <w:rPr>
            <w:color w:val="89651E"/>
          </w:rPr>
          <w:t>Original source</w:t>
        </w:r>
      </w:hyperlink>
      <w:r/>
    </w:p>
    <w:p>
      <w:r>
        <w:t>The Commission states that AI Omnibus entered into force on 27 July 2026, with Annex III high-risk rules applying from 2 December 2027 and Annex I product-embedded high-risk rules from 2 August 2028. EUR-Lex Regulation (EU) 2026/1744 remained bot-blocked; this record supports an attributed Commission explanation only. It does not independently verify the complete amended legal text or classify a particular robot.</w:t>
      </w:r>
    </w:p>
    <w:p>
      <w:r>
        <w:t>Locator: Opening paragraph; Extended timelines</w:t>
      </w:r>
    </w:p>
    <w:p>
      <w:pPr>
        <w:pStyle w:val="Heading2"/>
      </w:pPr>
      <w:r>
        <w:t>Cover photograph C01</w:t>
      </w:r>
    </w:p>
    <w:p>
      <w:r>
        <w:t>Unitree G1 humanoid robot and Go2 quadruped on an exhibition stage at Japan Mobility Show 2025, Tokyo Big Sight, October 31, 2025. The photograph illustrates robot hardware and does not establish industrial autonomy.</w:t>
      </w:r>
    </w:p>
    <w:p>
      <w:r>
        <w:t xml:space="preserve">Photo by </w:t>
      </w:r>
      <w:hyperlink r:id="rId79">
        <w:r>
          <w:rPr>
            <w:color w:val="89651E"/>
          </w:rPr>
          <w:t>RuinDig / Yuki Uchida</w:t>
        </w:r>
      </w:hyperlink>
      <w:r>
        <w:t xml:space="preserve">, </w:t>
      </w:r>
      <w:hyperlink r:id="rId80">
        <w:r>
          <w:rPr>
            <w:color w:val="89651E"/>
          </w:rPr>
          <w:t>CC BY 4.0</w:t>
        </w:r>
      </w:hyperlink>
      <w:r>
        <w:t>, via Wikimedia Commons. Reproduced without pixel changes.</w:t>
      </w:r>
    </w:p>
    <w:p>
      <w:r>
        <w:t>Original image: https://upload.wikimedia.org/wikipedia/commons/5/5a/Japan-Mobility-Show-2025-RuinDig_0542.jpg</w:t>
      </w:r>
    </w:p>
    <w:p>
      <w:r>
        <w:t>Photographed 2025-10-31; uploaded 2025-11-28; read 2026-10-12. Original resolution 3840 × 2160 pixels. Version v2 uses the unmodified original photograph, proportionally scaled in the document. English alternative text: A silver and black Unitree G1 humanoid in side profile, with a Go2 quadruped to its right, on a lit exhibition stage in Tokyo.</w:t>
      </w:r>
    </w:p>
    <w:p>
      <w:r>
        <w:t>The photograph documents exhibition hardware, not autonomous factory performance. Optional body photographs were omitted; data charts and the value-chain map are separately authored from the recorded evidence.</w:t>
      </w:r>
    </w:p>
    <w:p>
      <w:pPr>
        <w:kinsoku w:val="1"/>
      </w:pPr>
      <w:r>
        <w:rPr>
          <w:lang w:val="zh-CN" w:eastAsia="zh-CN"/>
        </w:rPr>
        <w:br w:type="page"/>
      </w:r>
    </w:p>
    <w:p>
      <w:pPr>
        <w:pStyle w:val="Title"/>
        <w:kinsoku w:val="1"/>
      </w:pPr>
      <w:r>
        <w:rPr>
          <w:lang w:val="zh-CN" w:eastAsia="zh-CN"/>
        </w:rPr>
        <w:t>全球具身智能与人形机器人行业报告</w:t>
      </w:r>
    </w:p>
    <w:p>
      <w:pPr>
        <w:pStyle w:val="Subtitle"/>
        <w:kinsoku w:val="1"/>
      </w:pPr>
      <w:r>
        <w:rPr>
          <w:lang w:val="zh-CN" w:eastAsia="zh-CN"/>
        </w:rPr>
        <w:t>行业故事 行业历史 市场格局与产业链 行业问题</w:t>
      </w:r>
    </w:p>
    <w:p>
      <w:pPr>
        <w:spacing w:line="240" w:lineRule="auto"/>
        <w:kinsoku w:val="1"/>
      </w:pPr>
      <w:r>
        <w:rPr>
          <w:lang w:val="zh-CN" w:eastAsia="zh-CN"/>
        </w:rPr>
        <w:drawing>
          <wp:inline xmlns:a="http://schemas.openxmlformats.org/drawingml/2006/main" xmlns:pic="http://schemas.openxmlformats.org/drawingml/2006/picture">
            <wp:extent cx="6400800" cy="3600450"/>
            <wp:docPr id="6" name="Picture 6" descr="2025 年 10 月 31 日，东京 Big Sight 的 Japan Mobility Show 2025 展台上的 Unitree G1 人形机器人与 Go2 四足机器人。照片展示机器人硬件，不作为工业自主能力的证明。 摄影：RuinDig / Yuki Uchida；来源：Wikimedia Commons；CC BY 4.0。原始实拍照片，文件像素未修改。"/>
            <wp:cNvGraphicFramePr>
              <a:graphicFrameLocks noChangeAspect="1"/>
            </wp:cNvGraphicFramePr>
            <a:graphic>
              <a:graphicData uri="http://schemas.openxmlformats.org/drawingml/2006/picture">
                <pic:pic>
                  <pic:nvPicPr>
                    <pic:cNvPr id="0" name="cover_real_photo_v2.jpg"/>
                    <pic:cNvPicPr/>
                  </pic:nvPicPr>
                  <pic:blipFill>
                    <a:blip r:embed="rId10"/>
                    <a:stretch>
                      <a:fillRect/>
                    </a:stretch>
                  </pic:blipFill>
                  <pic:spPr>
                    <a:xfrm>
                      <a:off x="0" y="0"/>
                      <a:ext cx="6400800" cy="3600450"/>
                    </a:xfrm>
                    <a:prstGeom prst="rect"/>
                  </pic:spPr>
                </pic:pic>
              </a:graphicData>
            </a:graphic>
          </wp:inline>
        </w:drawing>
      </w:r>
    </w:p>
    <w:p>
      <w:pPr>
        <w:pStyle w:val="Caption"/>
        <w:kinsoku w:val="1"/>
      </w:pPr>
      <w:r>
        <w:rPr>
          <w:lang w:val="zh-CN" w:eastAsia="zh-CN"/>
        </w:rPr>
        <w:t>2025 年 10 月 31 日﻿，东京 Big Sight 的 Japan Mobility Show 2025 展台上的 Unitree G1 人形机器人与 Go2 四足机器人﻿。照片展示机器人硬件﻿，不作为工业自主能力的证明﻿。 摄影﻿：RuinDig / Yuki Uchida﻿；来源﻿：Wikimedia Commons﻿；CC BY 4.0﻿。原始实拍照片﻿，文件像素未修改﻿。</w:t>
      </w:r>
    </w:p>
    <w:p>
      <w:pPr>
        <w:kinsoku w:val="1"/>
      </w:pPr>
      <w:r>
        <w:rPr>
          <w:lang w:val="zh-CN" w:eastAsia="zh-CN"/>
        </w:rPr>
        <w:t>资料截止 2026 年 10 月 12 日﻿。本报告覆盖全球具身智能生态﻿，重点分析人形机器人的商业化﻿。本文的核心判断是﻿，限定任务已有早期商业证据﻿，而可靠泛化﻿、运行成本和应用安全仍决定规模化路径﻿。三份饼图分别保留各自的市场定义﻿、时期及指标﻿，均不代表整个具身智能行业的企业份额﻿。</w:t>
      </w:r>
    </w:p>
    <w:p>
      <w:pPr>
        <w:kinsoku w:val="1"/>
      </w:pPr>
      <w:r>
        <w:rPr>
          <w:lang w:val="zh-CN" w:eastAsia="zh-CN"/>
        </w:rPr>
        <w:t>P1 行业故事﻿；P2 行业历史﻿；P3 市场格局（﻿含产业链与脑图﻿）﻿；P4 行业问题﻿；独立附录 材料证明﻿。</w:t>
      </w:r>
    </w:p>
    <w:p>
      <w:pPr>
        <w:kinsoku w:val="1"/>
      </w:pPr>
      <w:r>
        <w:rPr>
          <w:lang w:val="zh-CN" w:eastAsia="zh-CN"/>
        </w:rPr>
        <w:br w:type="page"/>
      </w:r>
    </w:p>
    <w:p>
      <w:pPr>
        <w:pStyle w:val="Heading1"/>
        <w:kinsoku w:val="1"/>
      </w:pPr>
      <w:r>
        <w:rPr>
          <w:lang w:val="zh-CN" w:eastAsia="zh-CN"/>
        </w:rPr>
        <w:t>P1 行业故事</w:t>
      </w:r>
    </w:p>
    <w:p>
      <w:pPr>
        <w:kinsoku w:val="1"/>
      </w:pPr>
      <w:r>
        <w:rPr>
          <w:lang w:val="zh-CN" w:eastAsia="zh-CN"/>
        </w:rPr>
        <w:t>2026年2月﻿，宝马披露了美国斯帕坦堡工厂的人形机器人试点记录﻿：2025年十个月内﻿，Figure 02支持超过30,000辆BMW X3的生产﻿，负责焊接前的钣金件取放﻿，累计搬运超过90,000个零部件﻿、运行约1,250小时﻿。这里的“﻿支持生产﻿”指参与工序﻿，并非独立制造整车﻿。这些数字由客户宝马披露﻿，机器人数量和经独立审计的经济性未公开﻿。[H01]</w:t>
      </w:r>
    </w:p>
    <w:p>
      <w:pPr>
        <w:kinsoku w:val="1"/>
      </w:pPr>
      <w:r>
        <w:rPr>
          <w:lang w:val="zh-CN" w:eastAsia="zh-CN"/>
        </w:rPr>
        <w:t>该公告未披露人工介入或中断频率﻿，也未提供完整成本分解﻿。因此﻿，这些记录支持特定生产任务的累计工作表现﻿，尚不足以估算通用自主能力或经审计的投资回报﻿。[H01]</w:t>
      </w:r>
    </w:p>
    <w:p>
      <w:pPr>
        <w:kinsoku w:val="1"/>
      </w:pPr>
      <w:r>
        <w:rPr>
          <w:lang w:val="zh-CN" w:eastAsia="zh-CN"/>
        </w:rPr>
        <w:t>本报告认为﻿，这个边界清楚的任务使案例具有研究价值﻿。生产任务为开发者提供了反复检验感知﻿、运动和操作配合效果的场景﻿，也给客户一个明确的有效产出单位﻿。一次成功取件与在一段生产计划中持续完成指定工序﻿，是不同的评价节点﻿。公开记录支持讨论后者在该试点中的表现﻿，同时留下商业问题﻿。</w:t>
      </w:r>
    </w:p>
    <w:p>
      <w:pPr>
        <w:kinsoku w:val="1"/>
      </w:pPr>
      <w:r>
        <w:rPr>
          <w:lang w:val="zh-CN" w:eastAsia="zh-CN"/>
        </w:rPr>
        <w:t>物流业也出现了商业化路径﻿。2024年6月27日﻿，GXO与Agility Robotics宣布多年机器人即服务（﻿RaaS﻿）协议﻿，在SPANX仓配设施部署Digit﻿，此前于2023年末完成试点﻿。工作包括从协作机器人处将料箱搬至输送带﻿，并由Agility Arc协调﻿。双方称其为行业首次﻿，本报告保留企业自述属性﻿；公告未披露合同金额或机器人数量﻿。[H02]</w:t>
      </w:r>
    </w:p>
    <w:p>
      <w:pPr>
        <w:kinsoku w:val="1"/>
      </w:pPr>
      <w:r>
        <w:rPr>
          <w:lang w:val="zh-CN" w:eastAsia="zh-CN"/>
        </w:rPr>
        <w:t>本报告认为﻿，RaaS把机器人与持续运营服务联系起来﻿。客户需要比较一段时间内完成指定工作的成本和可靠性﻿，并综合考察设备﻿、软件与支持﻿。协议确立了商业安排﻿，但本身不能证明这种方式比所有其他料箱搬运方案都更划算﻿。</w:t>
      </w:r>
    </w:p>
    <w:p>
      <w:pPr>
        <w:kinsoku w:val="1"/>
      </w:pPr>
      <w:r>
        <w:rPr>
          <w:lang w:val="zh-CN" w:eastAsia="zh-CN"/>
        </w:rPr>
        <w:t>宝马的故事仍在发展﻿。2026年6月25日﻿，公司公布Figure 03物流排序项目﻿：从容器中取件﻿，按序放入台车﻿，再由既有自动化设备接续运输﻿。公告对下一应用使用了未来时态﻿，未提供与早期Figure 02试点相当的已完成运营记录﻿。[H03]</w:t>
      </w:r>
    </w:p>
    <w:p>
      <w:pPr>
        <w:kinsoku w:val="1"/>
      </w:pPr>
      <w:r>
        <w:rPr>
          <w:lang w:val="zh-CN" w:eastAsia="zh-CN"/>
        </w:rPr>
        <w:t>这些案例引出本报告的核心问题﻿：智能机器人能在什么条件下﻿，以什么总成本﻿，可靠完成哪些物理任务﻿？具身智能连接感知﻿、决策与物理行动﻿，人形机器人是其中一种身体形态﻿。区分两者﻿，可以同时研究模型与部组件生态﻿，并以具体客户应用检验人形机器人的商业主张﻿。行业进展需要结合技术能力与有效工作评价﻿，并分别识别演示﻿、试点﻿、商业协议和已完成部署﻿。</w:t>
      </w:r>
    </w:p>
    <w:p>
      <w:pPr>
        <w:pStyle w:val="Heading1"/>
        <w:kinsoku w:val="1"/>
      </w:pPr>
      <w:r>
        <w:rPr>
          <w:lang w:val="zh-CN" w:eastAsia="zh-CN"/>
        </w:rPr>
        <w:t>P2 行业历史</w:t>
      </w:r>
    </w:p>
    <w:p>
      <w:pPr>
        <w:kinsoku w:val="1"/>
      </w:pPr>
      <w:r>
        <w:rPr>
          <w:lang w:val="zh-CN" w:eastAsia="zh-CN"/>
        </w:rPr>
        <w:t>行业历史有两条相连的线索﻿：类人运动机器的发展﻿，以及通过物理系统行动的智能的发展﻿。以下阶段是本报告的分析框架﻿，用来组织可核验事件﻿；不意味着所有企业路径相同﻿，或某种架构必然取代另一种﻿。它解释了当今竞争为何同时涉及机械﻿、控制﻿、数据﻿、模型与集成﻿。</w:t>
      </w:r>
    </w:p>
    <w:p>
      <w:pPr>
        <w:pStyle w:val="Heading2"/>
        <w:kinsoku w:val="1"/>
      </w:pPr>
      <w:r>
        <w:rPr>
          <w:lang w:val="zh-CN" w:eastAsia="zh-CN"/>
        </w:rPr>
        <w:t>研究型人形机器人把机械问题变得具体</w:t>
      </w:r>
    </w:p>
    <w:p>
      <w:pPr>
        <w:kinsoku w:val="1"/>
      </w:pPr>
      <w:r>
        <w:rPr>
          <w:lang w:val="zh-CN" w:eastAsia="zh-CN"/>
        </w:rPr>
        <w:t>早稻田大学1973年完成WABOT-1﻿。大学历史资料限定其为“﻿通常被认为是首个全尺寸人形机器人﻿”﻿，具备双足行走﻿、抓取和简单日语交流能力﻿。1984年推出的WABOT-2把感知与协调运动用于特定音乐任务﻿。“﻿全尺寸﻿”界定了历史主张﻿，不能扩展为所有机器人领域的无条件首创﻿。[H04]</w:t>
      </w:r>
    </w:p>
    <w:p>
      <w:pPr>
        <w:kinsoku w:val="1"/>
      </w:pPr>
      <w:r>
        <w:rPr>
          <w:lang w:val="zh-CN" w:eastAsia="zh-CN"/>
        </w:rPr>
        <w:t>本田1986年开始人形机器人研发﻿，1996年公开P2﻿、1997年公开P3﻿，2000年11月20日发布ASIMO﻿。原始新闻稿强调更小的身体和i-WALK带来的平顺步行﻿；首发规格为高1.2米﻿、重43公斤﻿，使用工作站和手持控制器操作﻿。这些属于特定代际平台的工程成果﻿。[H05]</w:t>
      </w:r>
    </w:p>
    <w:p>
      <w:pPr>
        <w:pStyle w:val="Heading2"/>
        <w:kinsoku w:val="1"/>
      </w:pPr>
      <w:r>
        <w:rPr>
          <w:lang w:val="zh-CN" w:eastAsia="zh-CN"/>
        </w:rPr>
        <w:t>具身智能也沿另一条研究路径发展</w:t>
      </w:r>
    </w:p>
    <w:p>
      <w:pPr>
        <w:kinsoku w:val="1"/>
      </w:pPr>
      <w:r>
        <w:rPr>
          <w:lang w:val="zh-CN" w:eastAsia="zh-CN"/>
        </w:rPr>
        <w:t>Rodney Brooks在1991年《﻿Intelligence without representation﻿》中主张逐步构建完整系统﻿，以真实感知和行动检验﻿。其行为式方法让并行活动层直接连接环境﻿，论文描述了实验室和办公室中的移动机器人﻿。这是具身智能的一条重要研究路径﻿，不能据此认定他发明了整个领域或术语﻿。[H18]</w:t>
      </w:r>
    </w:p>
    <w:p>
      <w:pPr>
        <w:kinsoku w:val="1"/>
      </w:pPr>
      <w:r>
        <w:rPr>
          <w:lang w:val="zh-CN" w:eastAsia="zh-CN"/>
        </w:rPr>
        <w:t>两者的方法联系是真实约束下对完整行动系统的评价﻿。当代基础模型架构不同﻿，因此本报告按不同身体形态比较已测试能力﻿。</w:t>
      </w:r>
    </w:p>
    <w:p>
      <w:pPr>
        <w:pStyle w:val="Heading2"/>
        <w:kinsoku w:val="1"/>
      </w:pPr>
      <w:r>
        <w:rPr>
          <w:lang w:val="zh-CN" w:eastAsia="zh-CN"/>
        </w:rPr>
        <w:t>DARPA挑战赛把硬件与自主能力放进复杂任务</w:t>
      </w:r>
    </w:p>
    <w:p>
      <w:pPr>
        <w:kinsoku w:val="1"/>
      </w:pPr>
      <w:r>
        <w:rPr>
          <w:lang w:val="zh-CN" w:eastAsia="zh-CN"/>
        </w:rPr>
        <w:t>DARPA于2013年7月公布Atlas﻿，作为虚拟机器人挑战赛晋级队伍的物理平台﻿，结合液压关节与传感硬件﻿，由队伍软件和人类操作者引导﻿。项目把仿真准备与实际灾害响应任务相连﻿。[H06] 2015年决赛于6月5日至6日在加州Pomona举行﻿；DARPA赛后资料确认KAIST的DRC-Hubo获最高名次﻿，并介绍获奖队伍的工作﻿。[H07]</w:t>
      </w:r>
    </w:p>
    <w:p>
      <w:pPr>
        <w:kinsoku w:val="1"/>
      </w:pPr>
      <w:r>
        <w:rPr>
          <w:lang w:val="zh-CN" w:eastAsia="zh-CN"/>
        </w:rPr>
        <w:t>本报告认为﻿，挑战赛展示了系统集成的重要性﻿。对使用Atlas的队伍﻿，共用平台仍可配合不同的软件﻿、操作界面和策略﻿。赛前公告强调抗跌倒﻿、电池管理及通信受限时的部分自主能力﻿。[H06][H07] 比赛成绩应放在任务与规则范围内评价﻿；商业运营还须验证可靠性﻿、维护﻿、集成及经济性﻿。</w:t>
      </w:r>
    </w:p>
    <w:p>
      <w:pPr>
        <w:pStyle w:val="Heading2"/>
        <w:kinsoku w:val="1"/>
      </w:pPr>
      <w:r>
        <w:rPr>
          <w:lang w:val="zh-CN" w:eastAsia="zh-CN"/>
        </w:rPr>
        <w:t>2023年 基础模型研究扩展了学习问题</w:t>
      </w:r>
    </w:p>
    <w:p>
      <w:pPr>
        <w:kinsoku w:val="1"/>
      </w:pPr>
      <w:r>
        <w:rPr>
          <w:lang w:val="zh-CN" w:eastAsia="zh-CN"/>
        </w:rPr>
        <w:t>2023年3月发表的PaLM-E把图像和状态观测嵌入语言模型﻿，用于具身推理﻿。它输出文本决策或计划﻿，再由独立的低层策略或规划器转成物理动作﻿。[H08] 7月发表的RT-2则把机器人动作编码为输出token﻿，改造视觉语言模型来生成动作﻿。作者明确提醒﻿：网页预训练提升语义和视觉泛化﻿，却不会带来超出机器人训练数据技能分布的新物理动作﻿。[H09]</w:t>
      </w:r>
    </w:p>
    <w:p>
      <w:pPr>
        <w:kinsoku w:val="1"/>
      </w:pPr>
      <w:r>
        <w:rPr>
          <w:lang w:val="zh-CN" w:eastAsia="zh-CN"/>
        </w:rPr>
        <w:t>Open X-Embodiment于2023年10月首发﻿，研究跨机器人平台学习﻿。本报告阅读的2025年5月版本汇集21家机构贡献的22种机器人形态数据﻿，研究操作任务中的正迁移﻿，并指出机器人交互数据相较视觉和语言数据仍覆盖有限﻿。这些是科研数据集数量﻿，不能当作出货或客户部署数﻿。[H10]</w:t>
      </w:r>
    </w:p>
    <w:p>
      <w:pPr>
        <w:kinsoku w:val="1"/>
      </w:pPr>
      <w:r>
        <w:rPr>
          <w:lang w:val="zh-CN" w:eastAsia="zh-CN"/>
        </w:rPr>
        <w:t>本报告认为﻿，这些项目改变了学习问题的提法﻿：开发者可以研究其他来源的知识能否帮助机器人理解情境﻿、规划任务或复用技能﻿。三个例子分别涉及扎根现实的推理﻿、动作生成和跨平台经验﻿。商业研究必须区分它们﻿：语言理解不等于动作覆盖﻿，共享数据不保证适配所有身体﻿，基准成功不证明连续运营﻿。模型角色与特定能力证据须分别说明﻿。</w:t>
      </w:r>
    </w:p>
    <w:p>
      <w:pPr>
        <w:pStyle w:val="Heading2"/>
        <w:kinsoku w:val="1"/>
      </w:pPr>
      <w:r>
        <w:rPr>
          <w:lang w:val="zh-CN" w:eastAsia="zh-CN"/>
        </w:rPr>
        <w:t>政策开始关注完整产业生态</w:t>
      </w:r>
    </w:p>
    <w:p>
      <w:pPr>
        <w:kinsoku w:val="1"/>
      </w:pPr>
      <w:r>
        <w:rPr>
          <w:lang w:val="zh-CN" w:eastAsia="zh-CN"/>
        </w:rPr>
        <w:t>中国工信部于2023年11月2日公开人形机器人发展指导意见﻿，文件成文日期为10月20日﻿。其2025年和2027年目标覆盖模型﻿、运动控制﻿、部组件﻿、生产﻿、示范应用与治理﻿，官方解读同时指出基础部件﻿、操作系统﻿、整机和产业生态存在短板﻿。这些是政策目标和诊断﻿，不是目标已实现的测量证明﻿。[H19]</w:t>
      </w:r>
    </w:p>
    <w:p>
      <w:pPr>
        <w:pStyle w:val="Heading2"/>
        <w:kinsoku w:val="1"/>
      </w:pPr>
      <w:r>
        <w:rPr>
          <w:lang w:val="zh-CN" w:eastAsia="zh-CN"/>
        </w:rPr>
        <w:t>2024年起 商业试验提供另一种证据</w:t>
      </w:r>
    </w:p>
    <w:p>
      <w:pPr>
        <w:kinsoku w:val="1"/>
      </w:pPr>
      <w:r>
        <w:rPr>
          <w:lang w:val="zh-CN" w:eastAsia="zh-CN"/>
        </w:rPr>
        <w:t>波士顿动力在2024年4月从液压Atlas转向全电平台﻿。官方介绍称将从现代汽车开始分阶段测试应用﻿，并强调工业部署所需的工作流程和基础设施﻿。当前页面没有显示准确发布日期﻿，因此本报告保留月份精度﻿。[H11]</w:t>
      </w:r>
    </w:p>
    <w:p>
      <w:pPr>
        <w:kinsoku w:val="1"/>
      </w:pPr>
      <w:r>
        <w:rPr>
          <w:lang w:val="zh-CN" w:eastAsia="zh-CN"/>
        </w:rPr>
        <w:t>P1中的GXO—Agility协议提供了RaaS合同实例﻿。[H02] 宝马2024年8月公布的Figure 02试验﻿，则提供了数周钣金操作测试的客户侧证据﻿；公告当时明确斯帕坦堡已无Figure机器人﻿，也没有确定的重新引入时间表﻿。[H17] 随后的2025年试点记录属于下一阶段﻿。[H01]</w:t>
      </w:r>
    </w:p>
    <w:p>
      <w:pPr>
        <w:pStyle w:val="Heading2"/>
        <w:kinsoku w:val="1"/>
      </w:pPr>
      <w:r>
        <w:rPr>
          <w:lang w:val="zh-CN" w:eastAsia="zh-CN"/>
        </w:rPr>
        <w:t>2025 至 2026 年 模型生态与产品计划共同推进</w:t>
      </w:r>
    </w:p>
    <w:p>
      <w:pPr>
        <w:kinsoku w:val="1"/>
      </w:pPr>
      <w:r>
        <w:rPr>
          <w:lang w:val="zh-CN" w:eastAsia="zh-CN"/>
        </w:rPr>
        <w:t>DeepMind于2025年3月同时推出Gemini Robotics与Gemini Robotics-ER﻿：前者为输出物理动作的VLA﻿，后者侧重空间推理并接入已有底层控制器﻿。公告说明VLA主要采用ALOHA 2双臂平台训练﻿，并展示其他平台适配及与Apptronik的合作﻿。[H12] 同月NVIDIA发布可定制GR00T N1﻿，采用推理与动作架构﻿，并支持面向特定机器人或任务后训练﻿。[H13] 9月﻿，DeepMind同时推出Robotics 1.5与Robotics-ER 1.5﻿，分别负责动作生成/行动推理及高层计划/工具调用﻿；发布时ER开放开发者API访问﻿，VLA仅向选定伙伴提供﻿。[H14]</w:t>
      </w:r>
    </w:p>
    <w:p>
      <w:pPr>
        <w:kinsoku w:val="1"/>
      </w:pPr>
      <w:r>
        <w:rPr>
          <w:lang w:val="zh-CN" w:eastAsia="zh-CN"/>
        </w:rPr>
        <w:t>硬件计划也继续推进﻿。波士顿动力于2026年1月5日推出产品版Atlas﻿，宣布即刻开始制造﻿，2026年计划向现代RMAC与Google DeepMind部署机队﻿；该公告中的机队仍属前瞻安排﻿。[H15] 宝马6月Figure 03项目描述下一物流应用﻿。[H03] NVIDIA 于 2026 年 3 月公告GR00T N1.7﻿，并预告N2预计年底可用﻿；仅凭预告不能认定N2已在本报告截止日前发布﻿。[H16]</w:t>
      </w:r>
    </w:p>
    <w:p>
      <w:pPr>
        <w:pStyle w:val="Heading1"/>
        <w:kinsoku w:val="1"/>
      </w:pPr>
      <w:r>
        <w:rPr>
          <w:lang w:val="zh-CN" w:eastAsia="zh-CN"/>
        </w:rPr>
        <w:t>P3 市场格局</w:t>
      </w:r>
    </w:p>
    <w:p>
      <w:pPr>
        <w:kinsoku w:val="1"/>
      </w:pPr>
      <w:r>
        <w:rPr>
          <w:lang w:val="zh-CN" w:eastAsia="zh-CN"/>
        </w:rPr>
        <w:t>具身智能描述系统通过物理身体感知﻿、决策和行动的能力﻿，人形描述其中一种身体形态﻿。两者的商业边界不同﻿。DeepMind在ALOHA 2﻿、人形和双臂平台间测试迁移﻿，Physical Intelligence研究陌生住宅内的移动操作﻿，智能层并不限于双足﻿。本报告把模型﻿、开发设施和物理部件视为赋能产业链﻿，并与较窄的人形整机出货统计区分﻿。[H14][V05]</w:t>
      </w:r>
    </w:p>
    <w:p>
      <w:pPr>
        <w:kinsoku w:val="1"/>
      </w:pPr>
      <w:r>
        <w:rPr>
          <w:lang w:val="zh-CN" w:eastAsia="zh-CN"/>
        </w:rPr>
        <w:t>以下上下游是作者的分析分类﻿：上游提供算力﻿、感知﻿、运动硬件﻿、模型和训练资源﻿；中游集成为可用整机及控制系统﻿；下游将机器接入工作流并维护﻿。脑图按“﻿行业→上中下游→细分→代表企业或产品﻿”组织﻿，连线表示类别﻿，不证明部件商向图中每家整机厂供货﻿。企业同时开发硬件和智能时﻿，可跨多个环节﻿。</w:t>
      </w:r>
    </w:p>
    <w:p>
      <w:pPr>
        <w:pStyle w:val="Heading2"/>
        <w:kinsoku w:val="1"/>
      </w:pPr>
      <w:r>
        <w:rPr>
          <w:lang w:val="zh-CN" w:eastAsia="zh-CN"/>
        </w:rPr>
        <w:t>模型 算力与数据</w:t>
      </w:r>
    </w:p>
    <w:p>
      <w:pPr>
        <w:kinsoku w:val="1"/>
      </w:pPr>
      <w:r>
        <w:rPr>
          <w:lang w:val="zh-CN" w:eastAsia="zh-CN"/>
        </w:rPr>
        <w:t>智能层中﻿，NVIDIA Isaac GR00T把可定制模型﻿、仿真和数据生成工具结合﻿，N1.6研究版在多种真实平台评估﻿。DeepMind结合具身推理与视觉语言动作模型﻿；Physical Intelligence研究通用操作策略﻿。它们是不同技术及分发路线﻿，不能当成可互换的成品机器人﻿。API﻿、可下载权重和受限测试资格的权限﻿、能力不同﻿，研究发布也不能用来推算商业许可费用或模型市场收入﻿。[H13][V02][H14][V05]</w:t>
      </w:r>
    </w:p>
    <w:p>
      <w:pPr>
        <w:kinsoku w:val="1"/>
      </w:pPr>
      <w:r>
        <w:rPr>
          <w:lang w:val="zh-CN" w:eastAsia="zh-CN"/>
        </w:rPr>
        <w:t>机载算力是另一层产品﻿。NVIDIA在2025年8月宣布Jetson AGX Thor及T5000模块上市﻿，文档区分硬件接口﻿、实时控制﻿、感知规划和高层推理﻿。平台服务整机厂和开发者﻿，但购买计算机不会自动完成感知﻿、电机﻿、供电和安全系统﻿。其业务角色是提供计算硬件及开发设施﻿，整机及应用责任仍需明确﻿。[V03]</w:t>
      </w:r>
    </w:p>
    <w:p>
      <w:pPr>
        <w:kinsoku w:val="1"/>
      </w:pPr>
      <w:r>
        <w:rPr>
          <w:lang w:val="zh-CN" w:eastAsia="zh-CN"/>
        </w:rPr>
        <w:t>数据也形成产品和服务﻿。AGIBOT的DaaS目录包括数据定制﻿、场景定制﻿、采集系统租赁和主题订阅﻿；AGIBOT WORLD 2026说明同步多模态记录﻿、遥操作采集和错误恢复标注﻿。这证明公司除整机外也承担数据服务角色﻿，未披露该业务收入﻿、客户节省或利润﻿。公开数据仍需审查具体许可﻿，公告不自动授权任意再分发﻿。[V12][V13]</w:t>
      </w:r>
    </w:p>
    <w:p>
      <w:pPr>
        <w:pStyle w:val="Heading2"/>
        <w:kinsoku w:val="1"/>
      </w:pPr>
      <w:r>
        <w:rPr>
          <w:lang w:val="zh-CN" w:eastAsia="zh-CN"/>
        </w:rPr>
        <w:t>运动与感知</w:t>
      </w:r>
    </w:p>
    <w:p>
      <w:pPr>
        <w:kinsoku w:val="1"/>
      </w:pPr>
      <w:r>
        <w:rPr>
          <w:lang w:val="zh-CN" w:eastAsia="zh-CN"/>
        </w:rPr>
        <w:t>物理链条始于运动﻿：电机﻿、传动﻿、轴承﻿、编码器﻿、控制器和结构件需要协同﻿。Harmonic Drive代表由波发生器﻿、柔轮﻿、刚轮构成的精密谐波传动﻿；maxon HEJ代表结合行星齿轮与扭矩感知的集成准直驱关节﻿。这些是不同构件路线﻿。厂商可采购零件﻿、集成执行器或自研组件﻿，客户价值在于满足重量﻿、散热﻿、耐久约束且能重复工作的可控运动﻿。[V06][V07]</w:t>
      </w:r>
    </w:p>
    <w:p>
      <w:pPr>
        <w:kinsoku w:val="1"/>
      </w:pPr>
      <w:r>
        <w:rPr>
          <w:lang w:val="zh-CN" w:eastAsia="zh-CN"/>
        </w:rPr>
        <w:t>感知也分工明确﻿。奥比中光Gemini 330深度相机与Jetson Thor适配﻿，代表视觉及计算接口﻿；ATI六轴力/扭矩产品衡量力和力矩﻿；GelSight DIGIT是操作学习的触觉研究传感器﻿。它们分别补充场景﻿、机械界面受力和局部接触信息﻿。DIGIT传感器不能与Agility Digit整机混同﻿；脑图收录代表产品类别﻿，不能替代对整机供应合同的核实﻿。[V09][V30][V08]</w:t>
      </w:r>
    </w:p>
    <w:p>
      <w:pPr>
        <w:pStyle w:val="Heading2"/>
        <w:kinsoku w:val="1"/>
      </w:pPr>
      <w:r>
        <w:rPr>
          <w:lang w:val="zh-CN" w:eastAsia="zh-CN"/>
        </w:rPr>
        <w:t>整机厂商与应用</w:t>
      </w:r>
    </w:p>
    <w:p>
      <w:pPr>
        <w:kinsoku w:val="1"/>
      </w:pPr>
      <w:r>
        <w:rPr>
          <w:lang w:val="zh-CN" w:eastAsia="zh-CN"/>
        </w:rPr>
        <w:t>整机层需要区分科研设备与工业系统﻿。Unitree G1和G1 EDU配置及开发权限不同﻿，基础硬件不能代表完整科研平台的价格或能力﻿。AGIBOT结合模型和多种身体配置﻿，2026年6月公告记录累计生产里程碑﻿。UBTECH工业Walker S系列聚焦搬运﻿、分拣﻿、质检并集成电池管理﻿。这些说明不同入场路线﻿，产品目录本身不能证明可比的客户生产率﻿。[V10][V11][M08]</w:t>
      </w:r>
    </w:p>
    <w:p>
      <w:pPr>
        <w:kinsoku w:val="1"/>
      </w:pPr>
      <w:r>
        <w:rPr>
          <w:lang w:val="zh-CN" w:eastAsia="zh-CN"/>
        </w:rPr>
        <w:t>应用工程同样影响整机竞争﻿。Figure的BMW部署承担限定工序﻿；Agility把Digit及Arc接入GXO既有自动化﻿；Boston Dynamics把Atlas﻿、机队软件﻿、企业系统接口及早期客户部署路径共同呈现﻿。工业交付需要将客户工序转化为感知﻿、动作﻿、异常处理和维护﻿，试验﻿、签约商业部署和扩大推广应保留不同阶段标签﻿。[V16][H02][V19]</w:t>
      </w:r>
    </w:p>
    <w:p>
      <w:pPr>
        <w:kinsoku w:val="1"/>
      </w:pPr>
      <w:r>
        <w:rPr>
          <w:lang w:val="zh-CN" w:eastAsia="zh-CN"/>
        </w:rPr>
        <w:t>家庭路线引入另一运营模式﻿。1X的NEO发布说明初期基础自主能力及对陌生任务的专家指导﻿。Tesla的2026年第二季度申报仍描述Optimus研发﻿、规模生产准备和投资﻿。两者均属整机参与者﻿，但消费预订证明拟提供的产品﻿，生产准备证明未来能力投资﻿，不能换算为经独立核验的安装基数或盈利的自主劳务服务﻿。[V20][V22]</w:t>
      </w:r>
    </w:p>
    <w:p>
      <w:pPr>
        <w:pStyle w:val="Heading2"/>
        <w:kinsoku w:val="1"/>
      </w:pPr>
      <w:r>
        <w:rPr>
          <w:lang w:val="zh-CN" w:eastAsia="zh-CN"/>
        </w:rPr>
        <w:t>交付与商业模式</w:t>
      </w:r>
    </w:p>
    <w:p>
      <w:pPr>
        <w:kinsoku w:val="1"/>
      </w:pPr>
      <w:r>
        <w:rPr>
          <w:lang w:val="zh-CN" w:eastAsia="zh-CN"/>
        </w:rPr>
        <w:t>下游让技术获得经济用途﻿：制造客户需要稳定装载﻿、搬运﻿、分拣﻿、质检﻿；物流客户需要连接已有设备﻿；科研教育客户需要开发权限和可重复实验﻿；家庭客户需要在变化空间提供帮助﻿。这些是不同客户任务﻿。作者认为﻿，集成商﻿、机队运营及服务团队通过界定任务﻿、安排接口﻿、验收安装﻿、管理异常和支持运行创造价值﻿，价值须逐应用验证﻿。</w:t>
      </w:r>
    </w:p>
    <w:p>
      <w:pPr>
        <w:kinsoku w:val="1"/>
      </w:pPr>
      <w:r>
        <w:rPr>
          <w:lang w:val="zh-CN" w:eastAsia="zh-CN"/>
        </w:rPr>
        <w:t>商业模式可分设备销售﻿、机器人即服务﻿、数据服务﻿。销售按套餐转移设备及相应义务﻿；GXO—Agility协议是RaaS实例﻿，AGIBOT提供数据服务﻿。风险分配仍取决于谁承担集成﻿、停机﻿、远程协助及备件费用﻿。低订阅价可能伴随实施工作﻿，低硬件价也可能伴随昂贵开发项目﻿。[H02][V13]</w:t>
      </w:r>
    </w:p>
    <w:p>
      <w:pPr>
        <w:kinsoku w:val="1"/>
      </w:pPr>
      <w:r>
        <w:rPr>
          <w:lang w:val="zh-CN" w:eastAsia="zh-CN"/>
        </w:rPr>
        <w:t>作者据此认为﻿，竞争同时发生在部件的可控性能与供货质量﻿、设施的开发部署能力﻿、整机可用性及应用成果层面﻿。企业角色﻿、身体形态和运行成熟度应分别呈现﻿。下游更有用的比较﻿，是相同条件下完成合格任务的成本与质量﻿；目录规格﻿、累计生产和成功演示分别回答不同问题﻿。</w:t>
      </w:r>
    </w:p>
    <w:p>
      <w:pPr>
        <w:sectPr>
          <w:pgSz w:w="12240" w:h="15840"/>
          <w:pgMar w:top="1008" w:right="1080" w:bottom="936" w:left="1080" w:header="317" w:footer="403" w:gutter="0"/>
          <w:cols w:space="720"/>
          <w:docGrid w:linePitch="360"/>
        </w:sectPr>
        <w:kinsoku w:val="1"/>
      </w:pPr>
    </w:p>
    <w:p>
      <w:pPr>
        <w:keepNext/>
        <w:spacing w:line="240" w:lineRule="auto" w:after="0"/>
        <w:jc w:val="center"/>
        <w:kinsoku w:val="1"/>
      </w:pPr>
      <w:r>
        <w:rPr>
          <w:lang w:val="zh-CN" w:eastAsia="zh-CN"/>
        </w:rPr>
        <w:drawing>
          <wp:inline xmlns:a="http://schemas.openxmlformats.org/drawingml/2006/main" xmlns:pic="http://schemas.openxmlformats.org/drawingml/2006/picture">
            <wp:extent cx="8321040" cy="5694712"/>
            <wp:docPr id="7" name="Picture 7" descr="行业→上中下游→细分环节→代表公司或产品。脑图为分析分类，不代表已核实供应合同；企业可跨多个角色，早期产品计划的阶段以正文说明为准。"/>
            <wp:cNvGraphicFramePr>
              <a:graphicFrameLocks noChangeAspect="1"/>
            </wp:cNvGraphicFramePr>
            <a:graphic>
              <a:graphicData uri="http://schemas.openxmlformats.org/drawingml/2006/picture">
                <pic:pic>
                  <pic:nvPicPr>
                    <pic:cNvPr id="0" name="value_chain_white_yellow.png"/>
                    <pic:cNvPicPr/>
                  </pic:nvPicPr>
                  <pic:blipFill>
                    <a:blip r:embed="rId11"/>
                    <a:stretch>
                      <a:fillRect/>
                    </a:stretch>
                  </pic:blipFill>
                  <pic:spPr>
                    <a:xfrm>
                      <a:off x="0" y="0"/>
                      <a:ext cx="8321040" cy="5694712"/>
                    </a:xfrm>
                    <a:prstGeom prst="rect"/>
                  </pic:spPr>
                </pic:pic>
              </a:graphicData>
            </a:graphic>
          </wp:inline>
        </w:drawing>
      </w:r>
    </w:p>
    <w:p>
      <w:pPr>
        <w:pStyle w:val="Caption"/>
        <w:spacing w:before="60" w:after="0"/>
        <w:kinsoku w:val="1"/>
      </w:pPr>
      <w:r>
        <w:rPr>
          <w:lang w:val="zh-CN" w:eastAsia="zh-CN"/>
        </w:rPr>
        <w:t>行业→上中下游→细分环节→代表公司或产品﻿。脑图为分析分类﻿，不代表已核实供应合同﻿；企业可跨多个角色﻿，早期产品计划的阶段以正文说明为准﻿。</w:t>
      </w:r>
    </w:p>
    <w:p>
      <w:pPr>
        <w:sectPr>
          <w:pgSz w:w="15840" w:h="12240" w:orient="landscape"/>
          <w:pgMar w:top="1008" w:right="1080" w:bottom="936" w:left="1080" w:header="317" w:footer="403" w:gutter="0"/>
          <w:cols w:space="720"/>
          <w:docGrid w:linePitch="360"/>
        </w:sectPr>
        <w:kinsoku w:val="1"/>
      </w:pPr>
    </w:p>
    <w:p>
      <w:pPr>
        <w:pStyle w:val="Heading2"/>
        <w:kinsoku w:val="1"/>
      </w:pPr>
      <w:r>
        <w:rPr>
          <w:lang w:val="zh-CN" w:eastAsia="zh-CN"/>
        </w:rPr>
        <w:t>市场范围决定数字能回答什么</w:t>
      </w:r>
    </w:p>
    <w:p>
      <w:pPr>
        <w:kinsoku w:val="1"/>
      </w:pPr>
      <w:r>
        <w:rPr>
          <w:lang w:val="zh-CN" w:eastAsia="zh-CN"/>
        </w:rPr>
        <w:t>具身智能贯穿模型﻿、数据﻿、计算﻿、机器本体和实际运行服务﻿，人形机器人只是其中一种产品形态﻿。目前已读取的公开材料不能给这一广泛产业提供统一的全球公司份额分母﻿。因此﻿，本报告用两个独立窗口观察人形整机﻿：2025 年新增安装份额﻿，以及 2026 年上半年出货份额﻿。每个窗口保留来源自己的定义和统计期﻿；不能从两张图推导某家企业份额上升或下降﻿，也不能把它们称为整个具身智能产业的份额﻿。[M01][M02]</w:t>
      </w:r>
    </w:p>
    <w:p>
      <w:pPr>
        <w:kinsoku w:val="1"/>
      </w:pPr>
      <w:r>
        <w:rPr>
          <w:lang w:val="zh-CN" w:eastAsia="zh-CN"/>
        </w:rPr>
        <w:t>Counterpoint 对 2025 年全球新增人形机器人安装量的估计约为 16,000 台﻿。其原图显示﻿：AGIBOT 31.9%﻿、Unitree 26.5%﻿、UBTECH 5.2%﻿、Leju 4.9%﻿、Tesla 4.7%﻿、其他 26.8%﻿。这些比例衡量当年新增安装﻿，既不是累计保有量﻿，也不是对外销售额﻿。公开文章涉及 AGIBOT 的 X2﻿、G2﻿，范围包含轮式产品﻿；文章没有完整披露安装计数方法﻿。图保留一位小数﻿，合计 100%﻿，不能用约数总量反推各厂的精确台数﻿。[M02]</w:t>
      </w:r>
    </w:p>
    <w:p>
      <w:pPr>
        <w:kinsoku w:val="1"/>
      </w:pPr>
      <w:r>
        <w:rPr>
          <w:lang w:val="zh-CN" w:eastAsia="zh-CN"/>
        </w:rPr>
        <w:t>SAG 对 2026 年上半年全球人形机器人出货量的初步估计为约 19,100 台﻿。其同一原图列示 AGIBOT 44%﻿、Unitree 31%﻿、Galbot 5%﻿、UBTECH 4%﻿、Leju 3%﻿、其他 13%﻿，合计 100%﻿。统计包含全尺寸双足﻿、小尺寸双足﻿、轮式和超仿生四类﻿；乐聚只计 KUAVO﻿，排除 Aelos﻿、Roban﻿。来源说明全部数据均为舍入后的初步估计﻿；逐厂显示量加起来为 19,000 台﻿，与总量有 100 台差异﻿，不能据此修改已公布的百分比﻿。[M01]</w:t>
      </w:r>
    </w:p>
    <w:p>
      <w:pPr>
        <w:kinsoku w:val="1"/>
      </w:pPr>
      <w:r>
        <w:rPr>
          <w:lang w:val="zh-CN" w:eastAsia="zh-CN"/>
        </w:rPr>
        <w:t>另一个已实际读取的 Counterpoint 原文估计﻿，2026 年上半年出货超过 22,000 台﻿。这与 SAG 的约 19,100 台存在差异﻿；两篇公开稿没有提供足够方法细节来解释全部差额﻿。本文分别归属来源﻿，保持各自分母﻿，不平均﻿、不拼接﻿。它提醒读者﻿，早期行业的统计结果对产品边界和计数方法敏感﻿；同比数字只有在同一机构的连续口径内才有可解释性﻿。[M03]</w:t>
      </w:r>
    </w:p>
    <w:p>
      <w:pPr>
        <w:pStyle w:val="Heading2"/>
        <w:kinsoku w:val="1"/>
      </w:pPr>
      <w:r>
        <w:rPr>
          <w:lang w:val="zh-CN" w:eastAsia="zh-CN"/>
        </w:rPr>
        <w:t>排名背后的客户与地域</w:t>
      </w:r>
    </w:p>
    <w:p>
      <w:pPr>
        <w:kinsoku w:val="1"/>
      </w:pPr>
      <w:r>
        <w:rPr>
          <w:lang w:val="zh-CN" w:eastAsia="zh-CN"/>
        </w:rPr>
        <w:t>整机数量排名很容易掩盖企业卖给谁﻿。科研平台﻿、演出租赁﻿、数据采集设备和工厂执行搬运任务的机器人﻿，可能都出现在某一机构的人形统计中﻿，但收入结构﻿、运行难度与客户验收要求不同﻿。本报告据此判断﻿：数量份额适合观察制造与渠道规模﻿，不能单独衡量工业自动化能力﻿，更不能直接证明客户投资回报﻿。</w:t>
      </w:r>
    </w:p>
    <w:p>
      <w:pPr>
        <w:kinsoku w:val="1"/>
      </w:pPr>
      <w:r>
        <w:rPr>
          <w:lang w:val="zh-CN" w:eastAsia="zh-CN"/>
        </w:rPr>
        <w:t>SAG 的同期间估计显示﻿，中国厂商贡献了超过 97% 的全球出货﻿，中国占全球需求超过 85%﻿。前者是生产商归属﻿，后者是购买或部署市场所在﻿，两者不能互换﻿。[M01] 全球研究因此同时需要考察中国的制造规模和海外客户的采购方式﻿。一个品牌在许多国家展示产品﻿，与海外产生持续﻿、可验证的订单收入﻿，是不同层次的证据﻿。地域标签应说明统计对象﻿，不能代替完整的竞争分析﻿。</w:t>
      </w:r>
    </w:p>
    <w:p>
      <w:pPr>
        <w:kinsoku w:val="1"/>
      </w:pPr>
      <w:r>
        <w:rPr>
          <w:lang w:val="zh-CN" w:eastAsia="zh-CN"/>
        </w:rPr>
        <w:t>需求分类本身也影响判断﻿。Counterpoint 的 2026 年上半年口径中﻿，娱乐演出与数据生产﻿、科研合计仍超过 60%﻿，智能制造和仓储物流分别约占 13% 和 5%﻿。这反映该机构定义下的结构﻿，不能替代 SAG 的用途判断﻿。[M03] 本文判断﻿，早期科研与演出订单可帮助厂商形成现金收入﻿、开发者网络与产能利用﻿，但这些需求能否转化为高重复采购的工业业务﻿，须继续观察客户续约﻿、无人运行时间和现场服务成本﻿。安装数量增长可以有商业价值﻿，但未必已经证明可广泛替代劳动﻿。</w:t>
      </w:r>
    </w:p>
    <w:p>
      <w:pPr>
        <w:pStyle w:val="Heading2"/>
        <w:kinsoku w:val="1"/>
      </w:pPr>
      <w:r>
        <w:rPr>
          <w:lang w:val="zh-CN" w:eastAsia="zh-CN"/>
        </w:rPr>
        <w:t>出货 验收与利润是三个层次</w:t>
      </w:r>
    </w:p>
    <w:p>
      <w:pPr>
        <w:kinsoku w:val="1"/>
      </w:pPr>
      <w:r>
        <w:rPr>
          <w:lang w:val="zh-CN" w:eastAsia="zh-CN"/>
        </w:rPr>
        <w:t>Unitree 的 2026 年 1 月官方英文澄清把 2025 年超过 5,500 台纯人形描述为实际出售并交付终端客户﻿，并称生产超过 6,500 台﻿，明确排除双臂轮式产品﻿。[M05] 更晚的招股说明书则列出产量 5,716 台﻿、出货 5,511 台﻿、确认销量 5,215 台﻿，并解释部分产品已按合同发货﻿，但年末尚未完成签收﻿、验收等收入确认程序﻿。[M07] 公开材料尚未充分调和一月的生产数和“﻿实际售出并交付﻿”措辞与后来表格的关系﻿。各次披露应保留自己的日期和定义﻿；出厂﻿、发货﻿、确认销售和订单是不同阶段﻿，不能相加计算市场规模﻿。</w:t>
      </w:r>
    </w:p>
    <w:p>
      <w:pPr>
        <w:kinsoku w:val="1"/>
      </w:pPr>
      <w:r>
        <w:rPr>
          <w:lang w:val="zh-CN" w:eastAsia="zh-CN"/>
        </w:rPr>
        <w:t>同一招股书披露﻿，2025 年人形机器人主营收入为人民币 8.678319 亿元﻿，占主营收入 51.78%﻿；人形平均销售单价为 16.64 万元﻿，同比下降 36.10%﻿。这一平均价格包含公司当年的型号组合与确认销售﻿，不能理解为全球市场统一报价﻿。[M07] 公司 2025 年总营业收入为 16.992693 亿元﻿，综合毛利率 60.44%﻿，扣除非经常性损益后归母净利润 5.907528 亿元﻿。[M06] 公司业务还包括四足和组件﻿，集团利润并不能证明其人形业务具有相同净利率﻿。51.78% 的分母是主营收入﻿，亦不能直接套在公司总收入上﻿。</w:t>
      </w:r>
    </w:p>
    <w:p>
      <w:pPr>
        <w:kinsoku w:val="1"/>
      </w:pPr>
      <w:r>
        <w:rPr>
          <w:lang w:val="zh-CN" w:eastAsia="zh-CN"/>
        </w:rPr>
        <w:t>UBTECH 提供另一个经营样本﻿。2025 年集团营业收入为人民币 20.00999 亿元﻿；全尺寸具身智能人形产品及服务收入为 8.20557 亿元﻿，占 41.1%﻿，相关销量 1,079 台﻿。集团毛利率 37.7%﻿，全年净亏损 7.89823 亿元﻿。[M08] 这不是一台人形机器人的亏损测算﻿：集团有其他机器人及硬件﻿，分部还包含服务﻿，研发和销售投入不能简单按这 1,079 台均摊﻿。公司间比较须匹配产品﻿、合并范围与利润披露层次﻿。</w:t>
      </w:r>
    </w:p>
    <w:p>
      <w:pPr>
        <w:kinsoku w:val="1"/>
      </w:pPr>
      <w:r>
        <w:rPr>
          <w:lang w:val="zh-CN" w:eastAsia="zh-CN"/>
        </w:rPr>
        <w:t>截至资料截止日可读的最新中期披露显示﻿，UBTECH 2026 年上半年未经审计集团收入为 12.6913 亿元﻿，同比增长 104.2%﻿；全尺寸具身人形产品及服务收入 5.90299 亿元﻿，占集团 46.5%﻿，销量 921 台﻿。集团毛利率升至 44.7%﻿，仍有净亏损 3.38827 亿元﻿。报告也调整了业务分类﻿，并包含新增收购业务﻿。[M09] 判断经营改善﻿，应把收入﻿、毛利﻿、期间费用与公司范围变化一起看﻿；不能用上半年销量对上一年度销量直接计算全年增长﻿，也不能把公司内部收入占比当作市场份额﻿。</w:t>
      </w:r>
    </w:p>
    <w:p>
      <w:pPr>
        <w:pStyle w:val="Heading2"/>
        <w:kinsoku w:val="1"/>
      </w:pPr>
      <w:r>
        <w:rPr>
          <w:lang w:val="zh-CN" w:eastAsia="zh-CN"/>
        </w:rPr>
        <w:t>融资规模与商业收入应分开看</w:t>
      </w:r>
    </w:p>
    <w:p>
      <w:pPr>
        <w:kinsoku w:val="1"/>
      </w:pPr>
      <w:r>
        <w:rPr>
          <w:lang w:val="zh-CN" w:eastAsia="zh-CN"/>
        </w:rPr>
        <w:t>Figure 在 2025 年 9 月宣布﻿，C 轮承诺资金超过 10 亿美元﻿、投后估值 390 亿美元﻿，拟投入制造﻿、训练计算与真实数据采集﻿。[M10] Apptronik 在 2026 年 2 月宣布新增 5.2 亿美元 A-X 轮融资﻿；与此前 4.15 亿美元 A 轮合计﻿，A 轮规模超过 9.35 亿美元﻿，总募集资金接近 10 亿美元﻿。公告列明 Mercedes-Benz﻿、GXO﻿、Jabil 及 Google DeepMind 等合作方﻿。[M11] 这些数字说明企业获得扩张资源﻿，不能当作营业收入﻿、客户采购额或量产成功的证据﻿。</w:t>
      </w:r>
    </w:p>
    <w:p>
      <w:pPr>
        <w:kinsoku w:val="1"/>
      </w:pPr>
      <w:r>
        <w:rPr>
          <w:lang w:val="zh-CN" w:eastAsia="zh-CN"/>
        </w:rPr>
        <w:t>尤其不能把同一轮融资的累计金额与包含在其中的新增融资再相加﻿。估值也取决于投资者对未来规模﻿、知识产权和执行能力的判断﻿；它不是当期利润的倍数承诺﻿。本文判断﻿，产业竞争会同时发生在制造成本﻿、模型研发和客户交付三个方向﻿，资本可以延长验证周期﻿，却不能代替现场验证﻿。比较不同地区企业时﻿，应分别列出已完成销售﻿、合同﻿、试点﻿、产能目标和融资﻿，避免用一项信息替代另一项﻿。</w:t>
      </w:r>
    </w:p>
    <w:p>
      <w:pPr>
        <w:kinsoku w:val="1"/>
      </w:pPr>
      <w:r>
        <w:rPr>
          <w:lang w:val="zh-CN" w:eastAsia="zh-CN"/>
        </w:rPr>
        <w:t>因此﻿，商业评估还须追问融资支持了什么﻿，以及成为收入之前尚需完成哪些步骤﻿。工厂投资需要客户愿意验收的产品﻿；训练投入需要符合客户约束的能力﻿；数据采集需要权利﻿、质量控制以及改进性能的路径﻿。这些是本文提出的分析问题﻿，并非断言某项项目必然成功或失败﻿。对所有公司使用同样的问题﻿，比单独按融资额排名更有解释力﻿。</w:t>
      </w:r>
    </w:p>
    <w:p>
      <w:pPr>
        <w:pStyle w:val="Heading2"/>
        <w:kinsoku w:val="1"/>
      </w:pPr>
      <w:r>
        <w:rPr>
          <w:lang w:val="zh-CN" w:eastAsia="zh-CN"/>
        </w:rPr>
        <w:t>客户现场正在定义可收费的产品</w:t>
      </w:r>
    </w:p>
    <w:p>
      <w:pPr>
        <w:kinsoku w:val="1"/>
      </w:pPr>
      <w:r>
        <w:rPr>
          <w:lang w:val="zh-CN" w:eastAsia="zh-CN"/>
        </w:rPr>
        <w:t>P1 中由客户确认的 GXO 协议给出具体 RaaS 案例﻿；公开条款没有披露价格﻿、机队规模﻿、服务水平或回本期﻿。[H02] 这证明合同和工作流的存在﻿；是否能在更多设施复制﻿，仍需看现场条件﻿、集成工作量与持续服务能力﻿。运行协议比演示更具体﻿，但仍不足以证明全行业投资回报﻿。</w:t>
      </w:r>
    </w:p>
    <w:p>
      <w:pPr>
        <w:kinsoku w:val="1"/>
      </w:pPr>
      <w:r>
        <w:rPr>
          <w:lang w:val="zh-CN" w:eastAsia="zh-CN"/>
        </w:rPr>
        <w:t>BMW 在 2026 年 6 月确认﻿，Figure 02 在 2025 年十个月内协助超过 30,000 辆 BMW X3 的生产﻿，其任务是在焊装流程中放置钣金件﻿；后续 Figure 03 项目转向物流零件排序﻿，并与其他运输自动化设备衔接﻿。[H03] “﻿协助车辆生产﻿”不等于独立制造整车﻿。案例的价值是明确工作步骤﻿、接口与后续任务﻿，而非用汽车产量代替机器人销量﻿。客户购买的是流程中可运行的贡献﻿，而非抽象的通用性宣称﻿。</w:t>
      </w:r>
    </w:p>
    <w:p>
      <w:pPr>
        <w:kinsoku w:val="1"/>
      </w:pPr>
      <w:r>
        <w:rPr>
          <w:lang w:val="zh-CN" w:eastAsia="zh-CN"/>
        </w:rPr>
        <w:t>本文判断﻿，整机厂真正交付的商业产品可能是一套可运行流程﻿：硬件﻿、任务软件﻿、维护﻿、远程支持和客户系统接口﻿。一次性销售更重视交付验收﻿，RaaS 更重视长期可用性与运营成本﻿；两种结构分配责任的方式不同﻿。低购买价格不能单独证明客户的服务成本低﻿，订阅合同也不能单独证明供应商有可观的持续利润﻿。应核查谁拥有设备﻿、谁处理故障﻿，以及什么表现才算通过验收﻿。</w:t>
      </w:r>
    </w:p>
    <w:p>
      <w:pPr>
        <w:kinsoku w:val="1"/>
      </w:pPr>
      <w:r>
        <w:rPr>
          <w:lang w:val="zh-CN" w:eastAsia="zh-CN"/>
        </w:rPr>
        <w:t>对客户而言﻿，选择人形﻿、轮式双臂或专用自动化﻿，最终须比较同一任务下的安全﻿、吞吐﻿、占地﻿、维护和总成本﻿；人形外观本身不能完成这项比较﻿。引入人形机器人后﻿，已有自动化仍可能参与流程﻿。观察行业竞争的关键﻿，应逐步转向在明确条件下稳定交付的可计费工作﻿。这样的分析容纳不同形态和商业模式﻿，也避免假定每个有前景的原型都已达到相同商业阶段﻿。</w:t>
      </w:r>
    </w:p>
    <w:p>
      <w:pPr>
        <w:kinsoku w:val="1"/>
      </w:pPr>
      <w:r>
        <w:rPr>
          <w:lang w:val="zh-CN" w:eastAsia="zh-CN"/>
        </w:rPr>
        <w:t>本次未采用 Omdia 2026 年 1 月版本的 2025 年公司份额图﻿：其出货表合计存在 50 台内部差异﻿，Unitree 后续一手披露也高于旧估计﻿。原文和图已经实际核查﻿，淘汰原因保留在独立材料证明中﻿。[M04][M05]</w:t>
      </w:r>
    </w:p>
    <w:p>
      <w:pPr>
        <w:pStyle w:val="Heading2"/>
        <w:kinsoku w:val="1"/>
      </w:pPr>
      <w:r>
        <w:rPr>
          <w:lang w:val="zh-CN" w:eastAsia="zh-CN"/>
        </w:rPr>
        <w:t>相邻市场与不同机器人定义</w:t>
      </w:r>
    </w:p>
    <w:p>
      <w:pPr>
        <w:kinsoku w:val="1"/>
      </w:pPr>
      <w:r>
        <w:rPr>
          <w:lang w:val="zh-CN" w:eastAsia="zh-CN"/>
        </w:rPr>
        <w:t>成熟自动化是评估人形系统时必须比较的替代方案﻿。IFR 报告 2025 年约有 500 万台工业机器人运行﻿，当年新增安装超过 60 万台﻿。两者分别为工业机器人存量与流量﻿，不衡量具身 AI 的采用程度﻿。[R01]</w:t>
      </w:r>
    </w:p>
    <w:p>
      <w:pPr>
        <w:kinsoku w:val="1"/>
      </w:pPr>
      <w:r>
        <w:rPr>
          <w:lang w:val="zh-CN" w:eastAsia="zh-CN"/>
        </w:rPr>
        <w:t>IFR 另报告 2025 年全球销售约 7,000 台高度超过 140 厘米﻿、用于科研和娱乐以外商业及专业任务的全尺寸人形机器人﻿。这一较窄边界不能通过与前述广义人形估计相减来调和﻿。[R02]</w:t>
      </w:r>
    </w:p>
    <w:p>
      <w:pPr>
        <w:kinsoku w:val="1"/>
      </w:pPr>
      <w:r>
        <w:rPr>
          <w:lang w:val="zh-CN" w:eastAsia="zh-CN"/>
        </w:rPr>
        <w:t>图 3 展示 IFR 生产商样本内的专业服务机器人应用结构﻿，用于理解新系统面对既有替代方案的任务市场﻿。该样本未外推全行业且逐年变化﻿；图中并非只统计人形机器人﻿，也未分类具身 AI 的采用程度﻿。[R03]</w:t>
      </w:r>
    </w:p>
    <w:p>
      <w:pPr>
        <w:kinsoku w:val="1"/>
      </w:pPr>
      <w:r>
        <w:rPr>
          <w:lang w:val="zh-CN" w:eastAsia="zh-CN"/>
        </w:rPr>
        <w:br w:type="page"/>
      </w:r>
    </w:p>
    <w:p>
      <w:pPr>
        <w:pStyle w:val="Heading2"/>
        <w:kinsoku w:val="1"/>
      </w:pPr>
      <w:r>
        <w:rPr>
          <w:lang w:val="zh-CN" w:eastAsia="zh-CN"/>
        </w:rPr>
        <w:t>图 1 全球人形机器人 2026 年上半年出货份额</w:t>
      </w:r>
    </w:p>
    <w:p>
      <w:pPr>
        <w:kinsoku w:val="1"/>
      </w:pPr>
      <w:r>
        <w:rPr>
          <w:lang w:val="zh-CN" w:eastAsia="zh-CN"/>
        </w:rPr>
        <w:t>范围为 SAG 四类形态定义下的全球人形机器人出货量﻿，包含轮式人形﻿；数据为初步且已舍入的第三方估计﻿，保留原公布份额﻿。[M01]</w:t>
      </w:r>
    </w:p>
    <w:p>
      <w:pPr>
        <w:keepNext/>
        <w:spacing w:line="240" w:lineRule="auto"/>
        <w:kinsoku w:val="1"/>
      </w:pPr>
      <w:r>
        <w:rPr>
          <w:lang w:val="zh-CN" w:eastAsia="zh-CN"/>
        </w:rPr>
        <w:drawing>
          <wp:inline xmlns:a="http://schemas.openxmlformats.org/drawingml/2006/main" xmlns:pic="http://schemas.openxmlformats.org/drawingml/2006/picture">
            <wp:extent cx="6400800" cy="4200525"/>
            <wp:docPr id="8" name="Picture 8" descr="范围为 SAG 四类形态定义下的全球人形机器人出货量，包含轮式人形；数据为初步且已舍入的第三方估计，保留原公布份额。[M01]"/>
            <wp:cNvGraphicFramePr>
              <a:graphicFrameLocks noChangeAspect="1"/>
            </wp:cNvGraphicFramePr>
            <a:graphic>
              <a:graphicData uri="http://schemas.openxmlformats.org/drawingml/2006/picture">
                <pic:pic>
                  <pic:nvPicPr>
                    <pic:cNvPr id="0" name="figure_1_shipments_2026H1_white_yellow.png"/>
                    <pic:cNvPicPr/>
                  </pic:nvPicPr>
                  <pic:blipFill>
                    <a:blip r:embed="rId12"/>
                    <a:stretch>
                      <a:fillRect/>
                    </a:stretch>
                  </pic:blipFill>
                  <pic:spPr>
                    <a:xfrm>
                      <a:off x="0" y="0"/>
                      <a:ext cx="6400800" cy="4200525"/>
                    </a:xfrm>
                    <a:prstGeom prst="rect"/>
                  </pic:spPr>
                </pic:pic>
              </a:graphicData>
            </a:graphic>
          </wp:inline>
        </w:drawing>
      </w:r>
    </w:p>
    <w:p>
      <w:pPr>
        <w:pStyle w:val="Caption"/>
        <w:kinsoku w:val="1"/>
      </w:pPr>
      <w:r>
        <w:rPr>
          <w:lang w:val="zh-CN" w:eastAsia="zh-CN"/>
        </w:rPr>
        <w:t>原公布份额合计 100%﻿；分厂商舍入量加总为 1.90 万台﻿，而总量为 1.91 万台﻿。此图不衡量可自主生产的机器人存量或整个具身智能行业﻿，不与图 2 直接比较份额增减﻿。</w:t>
      </w:r>
    </w:p>
    <w:tbl>
      <w:tblPr>
        <w:tblW w:type="auto" w:w="0"/>
        <w:tblLook w:firstColumn="1" w:firstRow="1" w:lastColumn="0" w:lastRow="0" w:noHBand="0" w:noVBand="1" w:val="04A0"/>
      </w:tblPr>
      <w:tblGrid>
        <w:gridCol w:w="5040"/>
        <w:gridCol w:w="5040"/>
      </w:tblGrid>
      <w:tr>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公司或应用</w:t>
            </w:r>
          </w:p>
        </w:tc>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份额 %</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AGIBOT</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44</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Unitree</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31</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Galbot</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5</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UBTECH</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Leju</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Others</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13</w:t>
            </w:r>
          </w:p>
        </w:tc>
      </w:tr>
    </w:tbl>
    <w:p>
      <w:pPr>
        <w:kinsoku w:val="1"/>
      </w:pPr>
      <w:r>
        <w:rPr>
          <w:lang w:val="zh-CN" w:eastAsia="zh-CN"/>
        </w:rPr>
        <w:br w:type="page"/>
      </w:r>
    </w:p>
    <w:p>
      <w:pPr>
        <w:pStyle w:val="Heading2"/>
        <w:kinsoku w:val="1"/>
      </w:pPr>
      <w:r>
        <w:rPr>
          <w:lang w:val="zh-CN" w:eastAsia="zh-CN"/>
        </w:rPr>
        <w:t>图 2 全球人形机器人 2025 年新增安装份额</w:t>
      </w:r>
    </w:p>
    <w:p>
      <w:pPr>
        <w:kinsoku w:val="1"/>
      </w:pPr>
      <w:r>
        <w:rPr>
          <w:lang w:val="zh-CN" w:eastAsia="zh-CN"/>
        </w:rPr>
        <w:t>Counterpoint 对全球年度新增人形机器人安装量的估计﻿，含轮式产品﻿，完整计数方法未公开﻿；保留原图一位小数的份额﻿。[M02]</w:t>
      </w:r>
    </w:p>
    <w:p>
      <w:pPr>
        <w:keepNext/>
        <w:spacing w:line="240" w:lineRule="auto"/>
        <w:kinsoku w:val="1"/>
      </w:pPr>
      <w:r>
        <w:rPr>
          <w:lang w:val="zh-CN" w:eastAsia="zh-CN"/>
        </w:rPr>
        <w:drawing>
          <wp:inline xmlns:a="http://schemas.openxmlformats.org/drawingml/2006/main" xmlns:pic="http://schemas.openxmlformats.org/drawingml/2006/picture">
            <wp:extent cx="6400800" cy="4200525"/>
            <wp:docPr id="9" name="Picture 9" descr="Counterpoint 对全球年度新增人形机器人安装量的估计，含轮式产品，完整计数方法未公开；保留原图一位小数的份额。[M02]"/>
            <wp:cNvGraphicFramePr>
              <a:graphicFrameLocks noChangeAspect="1"/>
            </wp:cNvGraphicFramePr>
            <a:graphic>
              <a:graphicData uri="http://schemas.openxmlformats.org/drawingml/2006/picture">
                <pic:pic>
                  <pic:nvPicPr>
                    <pic:cNvPr id="0" name="figure_2_installations_2025_white_yellow.png"/>
                    <pic:cNvPicPr/>
                  </pic:nvPicPr>
                  <pic:blipFill>
                    <a:blip r:embed="rId13"/>
                    <a:stretch>
                      <a:fillRect/>
                    </a:stretch>
                  </pic:blipFill>
                  <pic:spPr>
                    <a:xfrm>
                      <a:off x="0" y="0"/>
                      <a:ext cx="6400800" cy="4200525"/>
                    </a:xfrm>
                    <a:prstGeom prst="rect"/>
                  </pic:spPr>
                </pic:pic>
              </a:graphicData>
            </a:graphic>
          </wp:inline>
        </w:drawing>
      </w:r>
    </w:p>
    <w:p>
      <w:pPr>
        <w:pStyle w:val="Caption"/>
        <w:kinsoku w:val="1"/>
      </w:pPr>
      <w:r>
        <w:rPr>
          <w:lang w:val="zh-CN" w:eastAsia="zh-CN"/>
        </w:rPr>
        <w:t>份额合计 100%﻿，不是累计保有量或已确认销售﻿。其时期﻿、来源及指标均与图 1 不同﻿。页面公开时间为 2026 年 1 月﻿，正文一处 2025 年日期疑似排版错误﻿，已在材料证明记录﻿。</w:t>
      </w:r>
    </w:p>
    <w:tbl>
      <w:tblPr>
        <w:tblW w:type="auto" w:w="0"/>
        <w:tblLook w:firstColumn="1" w:firstRow="1" w:lastColumn="0" w:lastRow="0" w:noHBand="0" w:noVBand="1" w:val="04A0"/>
      </w:tblPr>
      <w:tblGrid>
        <w:gridCol w:w="5040"/>
        <w:gridCol w:w="5040"/>
      </w:tblGrid>
      <w:tr>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公司或应用</w:t>
            </w:r>
          </w:p>
        </w:tc>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份额 %</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AGIBOT</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31.9</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Unitree</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26.5</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UBTECH</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5.2</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Leju</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4.9</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Tesla</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4.7</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Others</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26.8</w:t>
            </w:r>
          </w:p>
        </w:tc>
      </w:tr>
    </w:tbl>
    <w:p>
      <w:pPr>
        <w:kinsoku w:val="1"/>
      </w:pPr>
      <w:r>
        <w:rPr>
          <w:lang w:val="zh-CN" w:eastAsia="zh-CN"/>
        </w:rPr>
        <w:br w:type="page"/>
      </w:r>
    </w:p>
    <w:p>
      <w:pPr>
        <w:pStyle w:val="Heading2"/>
        <w:kinsoku w:val="1"/>
      </w:pPr>
      <w:r>
        <w:rPr>
          <w:lang w:val="zh-CN" w:eastAsia="zh-CN"/>
        </w:rPr>
        <w:t>图 3 IFR 2025 年样本中的专业服务机器人用途构成</w:t>
      </w:r>
    </w:p>
    <w:p>
      <w:pPr>
        <w:kinsoku w:val="1"/>
      </w:pPr>
      <w:r>
        <w:rPr>
          <w:lang w:val="zh-CN" w:eastAsia="zh-CN"/>
        </w:rPr>
        <w:t>相邻市场对照﻿。IFR 服务机器人统计基于已识别 1,001 家生产商中的 238 家样本﻿，未外推全行业﻿；此图展示该调查中专业用途机器人的应用构成﻿。[R03]</w:t>
      </w:r>
    </w:p>
    <w:p>
      <w:pPr>
        <w:keepNext/>
        <w:spacing w:line="240" w:lineRule="auto"/>
        <w:kinsoku w:val="1"/>
      </w:pPr>
      <w:r>
        <w:rPr>
          <w:lang w:val="zh-CN" w:eastAsia="zh-CN"/>
        </w:rPr>
        <w:drawing>
          <wp:inline xmlns:a="http://schemas.openxmlformats.org/drawingml/2006/main" xmlns:pic="http://schemas.openxmlformats.org/drawingml/2006/picture">
            <wp:extent cx="6400800" cy="4200525"/>
            <wp:docPr id="10" name="Picture 10" descr="相邻市场对照。IFR 服务机器人统计基于已识别 1,001 家生产商中的 238 家样本，未外推全行业；此图展示该调查中专业用途机器人的应用构成。[R03]"/>
            <wp:cNvGraphicFramePr>
              <a:graphicFrameLocks noChangeAspect="1"/>
            </wp:cNvGraphicFramePr>
            <a:graphic>
              <a:graphicData uri="http://schemas.openxmlformats.org/drawingml/2006/picture">
                <pic:pic>
                  <pic:nvPicPr>
                    <pic:cNvPr id="0" name="figure_3_service_applications_2025_white_yellow.png"/>
                    <pic:cNvPicPr/>
                  </pic:nvPicPr>
                  <pic:blipFill>
                    <a:blip r:embed="rId14"/>
                    <a:stretch>
                      <a:fillRect/>
                    </a:stretch>
                  </pic:blipFill>
                  <pic:spPr>
                    <a:xfrm>
                      <a:off x="0" y="0"/>
                      <a:ext cx="6400800" cy="4200525"/>
                    </a:xfrm>
                    <a:prstGeom prst="rect"/>
                  </pic:spPr>
                </pic:pic>
              </a:graphicData>
            </a:graphic>
          </wp:inline>
        </w:drawing>
      </w:r>
    </w:p>
    <w:p>
      <w:pPr>
        <w:pStyle w:val="Caption"/>
        <w:kinsoku w:val="1"/>
      </w:pPr>
      <w:r>
        <w:rPr>
          <w:lang w:val="zh-CN" w:eastAsia="zh-CN"/>
        </w:rPr>
        <w:t>六个原公布整数份额合计 100%﻿，原图列示数量合计 249,568 台﻿；样本逐年变化﻿。这些分类不衡量具身 AI 渗透率或人形需求﻿，未对原份额任意归一化﻿。</w:t>
      </w:r>
    </w:p>
    <w:tbl>
      <w:tblPr>
        <w:tblW w:type="auto" w:w="0"/>
        <w:tblLook w:firstColumn="1" w:firstRow="1" w:lastColumn="0" w:lastRow="0" w:noHBand="0" w:noVBand="1" w:val="04A0"/>
      </w:tblPr>
      <w:tblGrid>
        <w:gridCol w:w="5040"/>
        <w:gridCol w:w="5040"/>
      </w:tblGrid>
      <w:tr>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公司或应用</w:t>
            </w:r>
          </w:p>
        </w:tc>
        <w:tc>
          <w:tcPr>
            <w:tcW w:type="dxa" w:w="5040"/>
            <w:tcBorders>
              <w:top w:val="single" w:sz="4" w:color="D9D9D9"/>
              <w:left w:val="single" w:sz="4" w:color="D9D9D9"/>
              <w:bottom w:val="single" w:sz="4" w:color="D9D9D9"/>
              <w:right w:val="single" w:sz="4" w:color="D9D9D9"/>
            </w:tcBorders>
            <w:shd w:fill="F2E5BE"/>
          </w:tcPr>
          <w:p>
            <w:pPr>
              <w:spacing w:before="60" w:after="60"/>
            </w:pPr>
            <w:r>
              <w:rPr>
                <w:sz w:val="20"/>
              </w:rPr>
              <w:t>份额 %</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运输与物流</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47</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酒店与接待服务</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22</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专业清洁</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18</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农业</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7</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检查与维护</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w:t>
            </w:r>
          </w:p>
        </w:tc>
      </w:tr>
      <w:tr>
        <w:tc>
          <w:tcPr>
            <w:tcW w:type="dxa" w:w="5040"/>
            <w:tcBorders>
              <w:top w:val="single" w:sz="4" w:color="D9D9D9"/>
              <w:left w:val="single" w:sz="4" w:color="D9D9D9"/>
              <w:bottom w:val="single" w:sz="4" w:color="D9D9D9"/>
              <w:right w:val="single" w:sz="4" w:color="D9D9D9"/>
            </w:tcBorders>
          </w:tcPr>
          <w:p>
            <w:pPr>
              <w:spacing w:before="60" w:after="60"/>
            </w:pPr>
            <w:r>
              <w:rPr>
                <w:sz w:val="20"/>
              </w:rPr>
              <w:t>其他</w:t>
            </w:r>
          </w:p>
        </w:tc>
        <w:tc>
          <w:tcPr>
            <w:tcW w:type="dxa" w:w="5040"/>
            <w:tcBorders>
              <w:top w:val="single" w:sz="4" w:color="D9D9D9"/>
              <w:left w:val="single" w:sz="4" w:color="D9D9D9"/>
              <w:bottom w:val="single" w:sz="4" w:color="D9D9D9"/>
              <w:right w:val="single" w:sz="4" w:color="D9D9D9"/>
            </w:tcBorders>
          </w:tcPr>
          <w:p>
            <w:pPr>
              <w:spacing w:before="60" w:after="60"/>
            </w:pPr>
            <w:r>
              <w:rPr>
                <w:sz w:val="20"/>
              </w:rPr>
              <w:t>3</w:t>
            </w:r>
          </w:p>
        </w:tc>
      </w:tr>
    </w:tbl>
    <w:p>
      <w:pPr>
        <w:kinsoku w:val="1"/>
      </w:pPr>
      <w:r>
        <w:rPr>
          <w:lang w:val="zh-CN" w:eastAsia="zh-CN"/>
        </w:rPr>
        <w:br w:type="page"/>
      </w:r>
    </w:p>
    <w:p>
      <w:pPr>
        <w:pStyle w:val="Heading1"/>
        <w:kinsoku w:val="1"/>
      </w:pPr>
      <w:r>
        <w:rPr>
          <w:lang w:val="zh-CN" w:eastAsia="zh-CN"/>
        </w:rPr>
        <w:t>P4 行业问题</w:t>
      </w:r>
    </w:p>
    <w:p>
      <w:pPr>
        <w:kinsoku w:val="1"/>
      </w:pPr>
      <w:r>
        <w:rPr>
          <w:lang w:val="zh-CN" w:eastAsia="zh-CN"/>
        </w:rPr>
        <w:t>困难在于从成功动作走向可靠服务﻿。本报告用一组实践问题评估商业成熟度﻿：能否完成任务﻿、失败后恢复﻿、持续保持表现﻿、在实际环境安全运行﻿，并在计入关联成本后创造收益﻿。以下结合已披露能力和局限与作者建议评价指标﻿，不代表企业同处一个阶段﻿，单项进步不能自动代替其他指标﻿。</w:t>
      </w:r>
    </w:p>
    <w:p>
      <w:pPr>
        <w:pStyle w:val="Heading2"/>
        <w:kinsoku w:val="1"/>
      </w:pPr>
      <w:r>
        <w:rPr>
          <w:lang w:val="zh-CN" w:eastAsia="zh-CN"/>
        </w:rPr>
        <w:t>泛化与训练数据</w:t>
      </w:r>
    </w:p>
    <w:p>
      <w:pPr>
        <w:kinsoku w:val="1"/>
      </w:pPr>
      <w:r>
        <w:rPr>
          <w:lang w:val="zh-CN" w:eastAsia="zh-CN"/>
        </w:rPr>
        <w:t>泛化仍有边界﻿。Physical Intelligence的π0.5论文在训练环境以外的住宅测试操作﻿，也列出陌生把手﻿、开启阻力﻿、遮挡﻿、子任务分心和上下文有限等问题﻿。采购评价应明确已测试的变化﻿，改变物体﻿、位置﻿、光照﻿、通道和任务顺序﻿，记录完成与协助情况﻿，不能把陌生测试环境等同于适用于所有家庭﻿。[V05]</w:t>
      </w:r>
    </w:p>
    <w:p>
      <w:pPr>
        <w:kinsoku w:val="1"/>
      </w:pPr>
      <w:r>
        <w:rPr>
          <w:lang w:val="zh-CN" w:eastAsia="zh-CN"/>
        </w:rPr>
        <w:t>数据规模须结合内容﻿。NVIDIA 的 GR00T N1 公告报告内部实验生成780,000条合成轨迹﻿，证明扩展工具﻿，不证明覆盖全部真实物理情况﻿。AGIBOT保留错误恢复轨迹﻿，说明失败与纠正也可进入学习记录﻿。作者推论﻿，部署评价需同时看场景覆盖﻿、校准﻿、罕见故障及真机验证﻿；仿真能够扩大训练测试﻿，价值最终须在实际硬件和任务上验证﻿。[H13][V12]</w:t>
      </w:r>
    </w:p>
    <w:p>
      <w:pPr>
        <w:pStyle w:val="Heading2"/>
        <w:kinsoku w:val="1"/>
      </w:pPr>
      <w:r>
        <w:rPr>
          <w:lang w:val="zh-CN" w:eastAsia="zh-CN"/>
        </w:rPr>
        <w:t>可靠性 能源与有效产出</w:t>
      </w:r>
    </w:p>
    <w:p>
      <w:pPr>
        <w:kinsoku w:val="1"/>
      </w:pPr>
      <w:r>
        <w:rPr>
          <w:lang w:val="zh-CN" w:eastAsia="zh-CN"/>
        </w:rPr>
        <w:t>机械可靠性会约束软件﻿。Figure称BMW部署的主要硬件故障点是前臂﻿，涉及紧凑结构布局﻿、灵巧性和热约束﻿，同时以周期﻿、放置准确率和人工介入为运营指标﻿。公开的准确率及干预目标不能写成已经达到﻿。采购应要求常态班次的分布﻿、重复故障﻿、修复时间和性能漂移﻿，不能仅看最佳演示速度﻿。[V16]</w:t>
      </w:r>
    </w:p>
    <w:p>
      <w:pPr>
        <w:kinsoku w:val="1"/>
      </w:pPr>
      <w:r>
        <w:rPr>
          <w:lang w:val="zh-CN" w:eastAsia="zh-CN"/>
        </w:rPr>
        <w:t>负载与续航都有工况﻿。Unitree明确单臂载荷随伸展姿态﻿、配置和场景变化﻿。Atlas分别列瞬时50kg﻿、持续30kg承载及4小时电池数据﻿，不能混成工业生产率排名﻿。作者建议验收统一伸展﻿、物体形状﻿、夹持方式﻿、运动﻿、持续时间及精度﻿，区分通电小时与有效工作小时﻿，因为补能﻿、维护和干预会中断产出﻿。[V10][V19]</w:t>
      </w:r>
    </w:p>
    <w:p>
      <w:pPr>
        <w:kinsoku w:val="1"/>
      </w:pPr>
      <w:r>
        <w:rPr>
          <w:lang w:val="zh-CN" w:eastAsia="zh-CN"/>
        </w:rPr>
        <w:t>换电解决一种中断﻿，也需要基础设施﻿。UBTECH宣称Walker S2借助双电池及换电站可在3分钟内自主换电﻿，这不是全天可用率审计﻿。算力也耗能﻿：NVIDIA列T5000模块40–130W﻿，仍只是整机功率的一部分﻿。客户需评估站点﻿、备电﻿、充电容量及实际工作时电机和计算的能耗﻿。[V15][V03]</w:t>
      </w:r>
    </w:p>
    <w:p>
      <w:pPr>
        <w:pStyle w:val="Heading2"/>
        <w:kinsoku w:val="1"/>
      </w:pPr>
      <w:r>
        <w:rPr>
          <w:lang w:val="zh-CN" w:eastAsia="zh-CN"/>
        </w:rPr>
        <w:t>贯穿运行周期的安全</w:t>
      </w:r>
    </w:p>
    <w:p>
      <w:pPr>
        <w:kinsoku w:val="1"/>
      </w:pPr>
      <w:r>
        <w:rPr>
          <w:lang w:val="zh-CN" w:eastAsia="zh-CN"/>
        </w:rPr>
        <w:t>安全须匹配用途﻿。ISO 10218-1:2025针对工业本体﻿，Part 2针对应用集成﻿；公开范围排除公众可接触的服务﻿、家庭用途及指定移动平台运动风险﻿。ISO 13482面向限定个人护理机器人﻿，排除工业﻿、医用设备等﻿。这些是范围界限﻿，不表示人形没有相关标准﻿；外形本身不能确定适用框架或证明合规﻿。[V23][V24][V25]</w:t>
      </w:r>
    </w:p>
    <w:p>
      <w:pPr>
        <w:kinsoku w:val="1"/>
      </w:pPr>
      <w:r>
        <w:rPr>
          <w:lang w:val="zh-CN" w:eastAsia="zh-CN"/>
        </w:rPr>
        <w:t>移动与动态平衡增加静止机械臂之外的风险﻿。A3于2026年10月讨论旁人﻿、停距﻿、保护停和急停﻿、能量控制﻿、部署后持续安全﻿，并把动态稳定人形纳入工业移动机器人讨论﻿。作者推论﻿，应把整机﻿、负载﻿、路线和周边人员共同评估﻿；更换机械手﻿、增加负载﻿、改变地面布局或更新软件可能改变先前评估条件﻿，安全因而贯穿生命周期﻿。[V26]</w:t>
      </w:r>
    </w:p>
    <w:p>
      <w:pPr>
        <w:kinsoku w:val="1"/>
      </w:pPr>
      <w:r>
        <w:rPr>
          <w:lang w:val="zh-CN" w:eastAsia="zh-CN"/>
        </w:rPr>
        <w:t>语义安全与保护层作用也不同﻿。DeepMind描述高层安全推理及低层保障﻿；Agility与FORT在2026年10月公告规划Digit 5的手柄﻿、机上通信和机外接口﻿，仍属备忘录及前瞻开发披露﻿。两者提示﻿，应区分对安全动作的推理和实现保护功能﻿，不能据模型或合作公告声称普遍认证的人机近距离作业能力﻿。[H14][V27]</w:t>
      </w:r>
    </w:p>
    <w:p>
      <w:pPr>
        <w:pStyle w:val="Heading2"/>
        <w:kinsoku w:val="1"/>
      </w:pPr>
      <w:r>
        <w:rPr>
          <w:lang w:val="zh-CN" w:eastAsia="zh-CN"/>
        </w:rPr>
        <w:t>远程协助与治理</w:t>
      </w:r>
    </w:p>
    <w:p>
      <w:pPr>
        <w:kinsoku w:val="1"/>
      </w:pPr>
      <w:r>
        <w:rPr>
          <w:lang w:val="zh-CN" w:eastAsia="zh-CN"/>
        </w:rPr>
        <w:t>远程协助是服务及成本边界﻿。NEO订购页列基础自主﻿、针对未知任务的定时Expert Mode及遥控选项﻿；所有权与订阅是不同套餐﻿，不是可互换的总成本﻿。作者建议界定自主完成﻿、监督和直接干预﻿，计量每合格任务的协助分钟﻿，明确断网或无人可协助时的处理﻿。家庭及机密工厂还需明确实时画面访问﻿、保留﻿、授权和审计安排﻿。[V21]</w:t>
      </w:r>
    </w:p>
    <w:p>
      <w:pPr>
        <w:kinsoku w:val="1"/>
      </w:pPr>
      <w:r>
        <w:rPr>
          <w:lang w:val="zh-CN" w:eastAsia="zh-CN"/>
        </w:rPr>
        <w:t>政策也需保留条件﻿。欧委会对产品高风险AI的解释要求同时满足适用产品或安全部件及相关第三方合格评定条件﻿，并非使用AI就令全部机器人高风险﻿。本报告不作一概分类﻿。作者认为﻿，开发者需记录预期用途及整机﻿、AI功能和安装责任﻿；工业﻿、消费及其他应用义务可能不同﻿，具体要求须按司法辖区和产品核查﻿。[V28]</w:t>
      </w:r>
    </w:p>
    <w:p>
      <w:pPr>
        <w:pStyle w:val="Heading2"/>
        <w:kinsoku w:val="1"/>
      </w:pPr>
      <w:r>
        <w:rPr>
          <w:lang w:val="zh-CN" w:eastAsia="zh-CN"/>
        </w:rPr>
        <w:t>市场准入与产品监管</w:t>
      </w:r>
    </w:p>
    <w:p>
      <w:pPr>
        <w:kinsoku w:val="1"/>
      </w:pPr>
      <w:r>
        <w:rPr>
          <w:lang w:val="zh-CN" w:eastAsia="zh-CN"/>
        </w:rPr>
        <w:t>市场准入开始影响全球竞争比较﻿。2026 年 7 月 28 日﻿，FCC 将外国生产的先进机器人设备加入 Covered List﻿，同时保留 DoW 有条件批准的例外﻿。原公文限制所列设备取得 FCC 设备授权﻿。官方 FAQ 说明该生产标准具有国家中性﻿，企业国籍本身不决定是否纳入﻿；它也区分新型号与先前已获授权型号﻿，7 月新增本身不禁止已授权型号继续进口﻿、销售或消费者合法使用﻿。因此﻿，本报告不将其概括为对全部既有外国人形机器人的无差别禁令﻿。[V33][V34]</w:t>
      </w:r>
    </w:p>
    <w:p>
      <w:pPr>
        <w:kinsoku w:val="1"/>
      </w:pPr>
      <w:r>
        <w:rPr>
          <w:lang w:val="zh-CN" w:eastAsia="zh-CN"/>
        </w:rPr>
        <w:t>是否纳入取决于设备特征及制造状况﻿。FCC 官方 FAQ 的定义涵盖符合重量﻿、环境感知﻿、联网及控制软件等条件的地面移动设备﻿，包括人形和四足﻿，同时排除固定不移动的工业机械臂﻿。仅凭身体形态或总部所在地无法得出合规结论﻿。有条件例外也已实际实施﻿：9 月 18 日﻿，FCC 对 ANSCER AR250﻿、AR650﻿、AR1250 平台给予豁免﻿，要求持续遵守本土化计划并接受更新审查﻿。对采购方而言﻿，具体型号的授权及例外状态因而成为采购证据的一部分﻿。[V34][V35]</w:t>
      </w:r>
    </w:p>
    <w:p>
      <w:pPr>
        <w:kinsoku w:val="1"/>
      </w:pPr>
      <w:r>
        <w:rPr>
          <w:lang w:val="zh-CN" w:eastAsia="zh-CN"/>
        </w:rPr>
        <w:t>欧盟实施时间表同样需要核对版本﻿。欧委会 2026 年 7 月 27 日的公告称﻿，AI Omnibus 当日生效﻿，Annex I 实物产品内嵌高风险 AI 规则自 2028 年 8 月 2 日适用﻿，Annex III 的日期为 2027 年 12 月 2 日﻿。本稿将这些日期归属于欧委会政策说明﻿，未独立读到修订后的 EUR-Lex 法律原文﻿，也不将全部人形机器人一概视作高风险﻿。欧委会 Article 6(1) 指引中的累积分类条件仍是按具体产品评估的起点﻿。[V36][V28]</w:t>
      </w:r>
    </w:p>
    <w:p>
      <w:pPr>
        <w:pStyle w:val="Heading2"/>
        <w:kinsoku w:val="1"/>
      </w:pPr>
      <w:r>
        <w:rPr>
          <w:lang w:val="zh-CN" w:eastAsia="zh-CN"/>
        </w:rPr>
        <w:t>单位经济性与采购证据</w:t>
      </w:r>
    </w:p>
    <w:p>
      <w:pPr>
        <w:kinsoku w:val="1"/>
      </w:pPr>
      <w:r>
        <w:rPr>
          <w:lang w:val="zh-CN" w:eastAsia="zh-CN"/>
        </w:rPr>
        <w:t>经济评价应看每份合格产出的总成本﻿。作者提出核算设备或服务付款﻿、集成﻿、场地改造﻿、培训数据﻿、电池能源﻿、维护备件﻿、软件﻿、监督及适用保险﻿，并避免重复计入套餐已含项目﻿。合格产出须与替代流程采用同样质量标准﻿。这是分析框架﻿，不是企业披露成本模型或行业利润预测﻿。</w:t>
      </w:r>
    </w:p>
    <w:p>
      <w:pPr>
        <w:kinsoku w:val="1"/>
      </w:pPr>
      <w:r>
        <w:rPr>
          <w:lang w:val="zh-CN" w:eastAsia="zh-CN"/>
        </w:rPr>
        <w:t>决策可先计算“﻿年度经验证收益－年度经常性关联成本﻿”﻿；只有净收益为正且初始投资定义明确时﻿，回收期才有意义﻿。收益可包括减少实际付费工作﻿、增加可销售产出或减少报废﻿，同一收益不可重复计算﻿。可用率﻿、有效利用率﻿、质量和协助都会影响结果﻿。还应在相同任务下比较固定机械臂﻿、移动操作机器人﻿、既有自动化﻿、流程改造和人工﻿。本报告不据此推算统一回收期或劳动力替代比例﻿。</w:t>
      </w:r>
    </w:p>
    <w:p>
      <w:pPr>
        <w:kinsoku w:val="1"/>
      </w:pPr>
      <w:r>
        <w:rPr>
          <w:lang w:val="zh-CN" w:eastAsia="zh-CN"/>
        </w:rPr>
        <w:t>累计出货﻿、下线或运行小时公告没有提供全部输入﻿。作者建议按阶段索取证据﻿：早期系统看重复任务与恢复试验﻿；试点看代表班次﻿、异常日志和真实集成工作量﻿；商业服务看合格产出﻿、实际协助﻿、停机﻿、完整费用和合同补救﻿。这样才能把行业进步联系到可检查的客户成果﻿，并保留未披露部分﻿。</w:t>
      </w:r>
    </w:p>
    <w:p>
      <w:pPr>
        <w:kinsoku w:val="1"/>
      </w:pPr>
      <w:r>
        <w:rPr>
          <w:lang w:val="zh-CN" w:eastAsia="zh-CN"/>
        </w:rPr>
        <w:br w:type="page"/>
      </w:r>
    </w:p>
    <w:p>
      <w:pPr>
        <w:pStyle w:val="Heading1"/>
        <w:kinsoku w:val="1"/>
      </w:pPr>
      <w:r>
        <w:rPr>
          <w:lang w:val="zh-CN" w:eastAsia="zh-CN"/>
        </w:rPr>
        <w:t>附录 材料证明</w:t>
      </w:r>
    </w:p>
    <w:p>
      <w:pPr>
        <w:pStyle w:val="Heading2"/>
        <w:kinsoku w:val="1"/>
      </w:pPr>
      <w:r>
        <w:rPr>
          <w:lang w:val="zh-CN" w:eastAsia="zh-CN"/>
        </w:rPr>
        <w:t>行业故事与历史材料</w:t>
      </w:r>
    </w:p>
    <w:p>
      <w:pPr>
        <w:pStyle w:val="Heading3"/>
        <w:kinsoku w:val="1"/>
      </w:pPr>
      <w:r>
        <w:rPr>
          <w:lang w:val="zh-CN" w:eastAsia="zh-CN"/>
        </w:rPr>
        <w:t>H01</w:t>
      </w:r>
    </w:p>
    <w:p>
      <w:pPr>
        <w:kinsoku w:val="1"/>
      </w:pPr>
      <w:r>
        <w:rPr>
          <w:lang w:val="zh-CN" w:eastAsia="zh-CN"/>
        </w:rPr>
        <w:t>来源﻿：</w:t>
      </w:r>
      <w:hyperlink r:id="rId15">
        <w:r>
          <w:rPr>
            <w:color w:val="89651E"/>
            <w:lang w:val="zh-CN" w:eastAsia="zh-CN"/>
          </w:rPr>
          <w:t>宝马集团首次将在德国生产中部署人形机器人</w:t>
        </w:r>
      </w:hyperlink>
      <w:r>
        <w:rPr>
          <w:lang w:val="zh-CN" w:eastAsia="zh-CN"/>
        </w:rPr>
        <w:t>﻿。机构／作者﻿：宝马集团﻿。</w:t>
      </w:r>
    </w:p>
    <w:p>
      <w:pPr>
        <w:kinsoku w:val="1"/>
      </w:pPr>
      <w:r>
        <w:rPr>
          <w:lang w:val="zh-CN" w:eastAsia="zh-CN"/>
        </w:rPr>
        <w:t>公开日期﻿：2026-02-27﻿。事件／统计期﻿：2025年试点﻿，十个月﻿；未披露准确起止日期﻿。读取日期﻿：2026-10-12﻿。</w:t>
      </w:r>
    </w:p>
    <w:p>
      <w:pPr>
        <w:kinsoku w:val="1"/>
      </w:pPr>
      <w:r>
        <w:rPr>
          <w:lang w:val="zh-CN" w:eastAsia="zh-CN"/>
        </w:rPr>
        <w:t>支持与限制﻿：支持客户自报的试点记录﻿；未披露机器人数量﻿、人工接管﻿、价格与经审计的经济性﻿。车辆总数指支持生产﻿。</w:t>
      </w:r>
    </w:p>
    <w:p>
      <w:pPr>
        <w:pStyle w:val="Heading3"/>
        <w:kinsoku w:val="1"/>
      </w:pPr>
      <w:r>
        <w:rPr>
          <w:lang w:val="zh-CN" w:eastAsia="zh-CN"/>
        </w:rPr>
        <w:t>H02</w:t>
      </w:r>
    </w:p>
    <w:p>
      <w:pPr>
        <w:kinsoku w:val="1"/>
      </w:pPr>
      <w:r>
        <w:rPr>
          <w:lang w:val="zh-CN" w:eastAsia="zh-CN"/>
        </w:rPr>
        <w:t>来源﻿：</w:t>
      </w:r>
      <w:hyperlink r:id="rId16">
        <w:r>
          <w:rPr>
            <w:color w:val="89651E"/>
            <w:lang w:val="zh-CN" w:eastAsia="zh-CN"/>
          </w:rPr>
          <w:t>GXO与Agility Robotics签订双方称为行业首个的多年协议</w:t>
        </w:r>
      </w:hyperlink>
      <w:r>
        <w:rPr>
          <w:lang w:val="zh-CN" w:eastAsia="zh-CN"/>
        </w:rPr>
        <w:t>﻿。机构／作者﻿：GXO Logistics／Agility Robotics﻿。</w:t>
      </w:r>
    </w:p>
    <w:p>
      <w:pPr>
        <w:kinsoku w:val="1"/>
      </w:pPr>
      <w:r>
        <w:rPr>
          <w:lang w:val="zh-CN" w:eastAsia="zh-CN"/>
        </w:rPr>
        <w:t>公开日期﻿：2024-06-27﻿。事件／统计期﻿：2024-06-27公布协议﻿；此前于2023年末试点﻿。读取日期﻿：2026-10-12﻿。</w:t>
      </w:r>
    </w:p>
    <w:p>
      <w:pPr>
        <w:kinsoku w:val="1"/>
      </w:pPr>
      <w:r>
        <w:rPr>
          <w:lang w:val="zh-CN" w:eastAsia="zh-CN"/>
        </w:rPr>
        <w:t>支持与限制﻿：支持已公布的商业RaaS协议和料箱任务﻿；行业首创属双方自称﻿，未披露合同金额﻿、机器人数量及盈利﻿。</w:t>
      </w:r>
    </w:p>
    <w:p>
      <w:pPr>
        <w:pStyle w:val="Heading3"/>
        <w:kinsoku w:val="1"/>
      </w:pPr>
      <w:r>
        <w:rPr>
          <w:lang w:val="zh-CN" w:eastAsia="zh-CN"/>
        </w:rPr>
        <w:t>H03</w:t>
      </w:r>
    </w:p>
    <w:p>
      <w:pPr>
        <w:kinsoku w:val="1"/>
      </w:pPr>
      <w:r>
        <w:rPr>
          <w:lang w:val="zh-CN" w:eastAsia="zh-CN"/>
        </w:rPr>
        <w:t>来源﻿：</w:t>
      </w:r>
      <w:hyperlink r:id="rId17">
        <w:r>
          <w:rPr>
            <w:color w:val="89651E"/>
            <w:lang w:val="zh-CN" w:eastAsia="zh-CN"/>
          </w:rPr>
          <w:t>宝马以斯帕坦堡Figure 03项目推进生产中的物理AI应用</w:t>
        </w:r>
      </w:hyperlink>
      <w:r>
        <w:rPr>
          <w:lang w:val="zh-CN" w:eastAsia="zh-CN"/>
        </w:rPr>
        <w:t>﻿。机构／作者﻿：宝马集团﻿。</w:t>
      </w:r>
    </w:p>
    <w:p>
      <w:pPr>
        <w:kinsoku w:val="1"/>
      </w:pPr>
      <w:r>
        <w:rPr>
          <w:lang w:val="zh-CN" w:eastAsia="zh-CN"/>
        </w:rPr>
        <w:t>公开日期﻿：2026-06-25﻿。事件／统计期﻿：2026年项目公告﻿；回顾2025年Figure 02试点﻿。读取日期﻿：2026-10-12﻿。</w:t>
      </w:r>
    </w:p>
    <w:p>
      <w:pPr>
        <w:kinsoku w:val="1"/>
      </w:pPr>
      <w:r>
        <w:rPr>
          <w:lang w:val="zh-CN" w:eastAsia="zh-CN"/>
        </w:rPr>
        <w:t>支持与限制﻿：支持下一排序应用及计划功能﻿；未来时态不证明Figure 03已完成稳定运营﻿。十个月生产支持不同于供应商描述的十一个月部署﻿。</w:t>
      </w:r>
    </w:p>
    <w:p>
      <w:pPr>
        <w:pStyle w:val="Heading3"/>
        <w:kinsoku w:val="1"/>
      </w:pPr>
      <w:r>
        <w:rPr>
          <w:lang w:val="zh-CN" w:eastAsia="zh-CN"/>
        </w:rPr>
        <w:t>H04</w:t>
      </w:r>
    </w:p>
    <w:p>
      <w:pPr>
        <w:kinsoku w:val="1"/>
      </w:pPr>
      <w:r>
        <w:rPr>
          <w:lang w:val="zh-CN" w:eastAsia="zh-CN"/>
        </w:rPr>
        <w:t>来源﻿：</w:t>
      </w:r>
      <w:hyperlink r:id="rId18">
        <w:r>
          <w:rPr>
            <w:color w:val="89651E"/>
            <w:lang w:val="zh-CN" w:eastAsia="zh-CN"/>
          </w:rPr>
          <w:t>早稻田的机器人﻿：人形机器人创新五十年</w:t>
        </w:r>
      </w:hyperlink>
      <w:r>
        <w:rPr>
          <w:lang w:val="zh-CN" w:eastAsia="zh-CN"/>
        </w:rPr>
        <w:t>﻿。机构／作者﻿：早稻田大学﻿。</w:t>
      </w:r>
    </w:p>
    <w:p>
      <w:pPr>
        <w:kinsoku w:val="1"/>
      </w:pPr>
      <w:r>
        <w:rPr>
          <w:lang w:val="zh-CN" w:eastAsia="zh-CN"/>
        </w:rPr>
        <w:t>公开日期﻿：2026-05-08﻿。事件／统计期﻿：历史事件﻿：WABOT-1﻿，1973年﻿；WABOT-2﻿，1984年﻿。读取日期﻿：2026-10-12﻿。</w:t>
      </w:r>
    </w:p>
    <w:p>
      <w:pPr>
        <w:kinsoku w:val="1"/>
      </w:pPr>
      <w:r>
        <w:rPr>
          <w:lang w:val="zh-CN" w:eastAsia="zh-CN"/>
        </w:rPr>
        <w:t>支持与限制﻿：支持大学记录的日期与能力﻿；首创主张限定为通常认可且全尺寸﻿。科研节点不证明商业就绪﻿。</w:t>
      </w:r>
    </w:p>
    <w:p>
      <w:pPr>
        <w:pStyle w:val="Heading3"/>
        <w:kinsoku w:val="1"/>
      </w:pPr>
      <w:r>
        <w:rPr>
          <w:lang w:val="zh-CN" w:eastAsia="zh-CN"/>
        </w:rPr>
        <w:t>H05</w:t>
      </w:r>
    </w:p>
    <w:p>
      <w:pPr>
        <w:kinsoku w:val="1"/>
      </w:pPr>
      <w:r>
        <w:rPr>
          <w:lang w:val="zh-CN" w:eastAsia="zh-CN"/>
        </w:rPr>
        <w:t>来源﻿：</w:t>
      </w:r>
      <w:hyperlink r:id="rId19">
        <w:r>
          <w:rPr>
            <w:color w:val="89651E"/>
            <w:lang w:val="zh-CN" w:eastAsia="zh-CN"/>
          </w:rPr>
          <w:t>本田发布人形机器人ASIMO</w:t>
        </w:r>
      </w:hyperlink>
      <w:r>
        <w:rPr>
          <w:lang w:val="zh-CN" w:eastAsia="zh-CN"/>
        </w:rPr>
        <w:t>﻿。机构／作者﻿：本田技研工业﻿。</w:t>
      </w:r>
    </w:p>
    <w:p>
      <w:pPr>
        <w:kinsoku w:val="1"/>
      </w:pPr>
      <w:r>
        <w:rPr>
          <w:lang w:val="zh-CN" w:eastAsia="zh-CN"/>
        </w:rPr>
        <w:t>公开日期﻿：2000-11-20﻿。事件／统计期﻿：1986年开始研发﻿；P2为1996年﻿；P3为1997年﻿；ASIMO于2000-11-20发布﻿。读取日期﻿：2026-10-12﻿。</w:t>
      </w:r>
    </w:p>
    <w:p>
      <w:pPr>
        <w:kinsoku w:val="1"/>
      </w:pPr>
      <w:r>
        <w:rPr>
          <w:lang w:val="zh-CN" w:eastAsia="zh-CN"/>
        </w:rPr>
        <w:t>支持与限制﻿：支持原始年表﻿、首发规格与控制器操作﻿；不能把后来的自主或语言模型能力倒推至首发机器﻿。</w:t>
      </w:r>
    </w:p>
    <w:p>
      <w:pPr>
        <w:pStyle w:val="Heading3"/>
        <w:kinsoku w:val="1"/>
      </w:pPr>
      <w:r>
        <w:rPr>
          <w:lang w:val="zh-CN" w:eastAsia="zh-CN"/>
        </w:rPr>
        <w:t>H06</w:t>
      </w:r>
    </w:p>
    <w:p>
      <w:pPr>
        <w:kinsoku w:val="1"/>
      </w:pPr>
      <w:r>
        <w:rPr>
          <w:lang w:val="zh-CN" w:eastAsia="zh-CN"/>
        </w:rPr>
        <w:t>来源﻿：</w:t>
      </w:r>
      <w:hyperlink r:id="rId20">
        <w:r>
          <w:rPr>
            <w:color w:val="89651E"/>
            <w:lang w:val="zh-CN" w:eastAsia="zh-CN"/>
          </w:rPr>
          <w:t>DARPA公布ATLAS机器人</w:t>
        </w:r>
      </w:hyperlink>
      <w:r>
        <w:rPr>
          <w:lang w:val="zh-CN" w:eastAsia="zh-CN"/>
        </w:rPr>
        <w:t>﻿。机构／作者﻿：美国国防高级研究计划局（﻿DARPA﻿）﻿。</w:t>
      </w:r>
    </w:p>
    <w:p>
      <w:pPr>
        <w:kinsoku w:val="1"/>
      </w:pPr>
      <w:r>
        <w:rPr>
          <w:lang w:val="zh-CN" w:eastAsia="zh-CN"/>
        </w:rPr>
        <w:t>公开日期﻿：2013-07-11﻿。事件／统计期﻿：2013-07-08向队伍介绍﻿；用于2013年选拔赛的平台﻿。读取日期﻿：2026-10-12﻿。</w:t>
      </w:r>
    </w:p>
    <w:p>
      <w:pPr>
        <w:kinsoku w:val="1"/>
      </w:pPr>
      <w:r>
        <w:rPr>
          <w:lang w:val="zh-CN" w:eastAsia="zh-CN"/>
        </w:rPr>
        <w:t>支持与限制﻿：支持硬件与人类监督科研背景﻿；公告预期的2014年决赛后来改期﻿，实际2015年赛事见H07﻿。</w:t>
      </w:r>
    </w:p>
    <w:p>
      <w:pPr>
        <w:pStyle w:val="Heading3"/>
        <w:kinsoku w:val="1"/>
      </w:pPr>
      <w:r>
        <w:rPr>
          <w:lang w:val="zh-CN" w:eastAsia="zh-CN"/>
        </w:rPr>
        <w:t>H07</w:t>
      </w:r>
    </w:p>
    <w:p>
      <w:pPr>
        <w:kinsoku w:val="1"/>
      </w:pPr>
      <w:r>
        <w:rPr>
          <w:lang w:val="zh-CN" w:eastAsia="zh-CN"/>
        </w:rPr>
        <w:t>来源﻿：</w:t>
      </w:r>
      <w:hyperlink r:id="rId21">
        <w:r>
          <w:rPr>
            <w:color w:val="89651E"/>
            <w:lang w:val="zh-CN" w:eastAsia="zh-CN"/>
          </w:rPr>
          <w:t>机器人挑战赛研讨会﻿：从更好的机器人到更好的未来</w:t>
        </w:r>
      </w:hyperlink>
      <w:r>
        <w:rPr>
          <w:lang w:val="zh-CN" w:eastAsia="zh-CN"/>
        </w:rPr>
        <w:t>﻿。机构／作者﻿：美国国防高级研究计划局（﻿DARPA﻿）﻿。</w:t>
      </w:r>
    </w:p>
    <w:p>
      <w:pPr>
        <w:kinsoku w:val="1"/>
      </w:pPr>
      <w:r>
        <w:rPr>
          <w:lang w:val="zh-CN" w:eastAsia="zh-CN"/>
        </w:rPr>
        <w:t>公开日期﻿：2015-06-08﻿。事件／统计期﻿：决赛2015-06-05至2015-06-06﻿；赛后研讨会﻿。读取日期﻿：2026-10-12﻿。</w:t>
      </w:r>
    </w:p>
    <w:p>
      <w:pPr>
        <w:kinsoku w:val="1"/>
      </w:pPr>
      <w:r>
        <w:rPr>
          <w:lang w:val="zh-CN" w:eastAsia="zh-CN"/>
        </w:rPr>
        <w:t>支持与限制﻿：支持赛事已举行及KAIST获最高名次﻿；配套赛前公告支持日期和任务背景﻿，计划队伍数不能当作实际参赛数﻿。</w:t>
      </w:r>
    </w:p>
    <w:p>
      <w:pPr>
        <w:kinsoku w:val="1"/>
      </w:pPr>
      <w:r>
        <w:rPr>
          <w:lang w:val="zh-CN" w:eastAsia="zh-CN"/>
        </w:rPr>
      </w:r>
      <w:hyperlink r:id="rId22">
        <w:r>
          <w:rPr>
            <w:color w:val="89651E"/>
            <w:lang w:val="zh-CN" w:eastAsia="zh-CN"/>
          </w:rPr>
          <w:t>配套来源﻿：世界各地二十五支队伍将参加DARPA机器人挑战赛决赛﻿；DARPA﻿；2015-03-05﻿。</w:t>
        </w:r>
      </w:hyperlink>
      <w:r>
        <w:rPr>
          <w:lang w:val="zh-CN" w:eastAsia="zh-CN"/>
        </w:rPr>
        <w:t>读取日期﻿：2026-10-12﻿。</w:t>
      </w:r>
    </w:p>
    <w:p>
      <w:pPr>
        <w:pStyle w:val="Heading3"/>
        <w:kinsoku w:val="1"/>
      </w:pPr>
      <w:r>
        <w:rPr>
          <w:lang w:val="zh-CN" w:eastAsia="zh-CN"/>
        </w:rPr>
        <w:t>H08</w:t>
      </w:r>
    </w:p>
    <w:p>
      <w:pPr>
        <w:kinsoku w:val="1"/>
      </w:pPr>
      <w:r>
        <w:rPr>
          <w:lang w:val="zh-CN" w:eastAsia="zh-CN"/>
        </w:rPr>
        <w:t>来源﻿：</w:t>
      </w:r>
      <w:hyperlink r:id="rId23">
        <w:r>
          <w:rPr>
            <w:color w:val="89651E"/>
            <w:lang w:val="zh-CN" w:eastAsia="zh-CN"/>
          </w:rPr>
          <w:t>PaLM-E﻿：具身多模态语言模型</w:t>
        </w:r>
      </w:hyperlink>
      <w:r>
        <w:rPr>
          <w:lang w:val="zh-CN" w:eastAsia="zh-CN"/>
        </w:rPr>
        <w:t>﻿。机构／作者﻿：Danny Driess及共同作者﻿。</w:t>
      </w:r>
    </w:p>
    <w:p>
      <w:pPr>
        <w:kinsoku w:val="1"/>
      </w:pPr>
      <w:r>
        <w:rPr>
          <w:lang w:val="zh-CN" w:eastAsia="zh-CN"/>
        </w:rPr>
        <w:t>公开日期﻿：2023-03-06, arXiv v1﻿。事件／统计期﻿：2023年科研发表﻿；已读全文第3节与结论﻿。读取日期﻿：2026-10-12﻿。</w:t>
      </w:r>
    </w:p>
    <w:p>
      <w:pPr>
        <w:kinsoku w:val="1"/>
      </w:pPr>
      <w:r>
        <w:rPr>
          <w:lang w:val="zh-CN" w:eastAsia="zh-CN"/>
        </w:rPr>
        <w:t>支持与限制﻿：支持多模态推理与文本规划﻿；执行须另有低层策略或规划器﻿。科研性能不证明生产可靠性﻿。</w:t>
      </w:r>
    </w:p>
    <w:p>
      <w:pPr>
        <w:pStyle w:val="Heading3"/>
        <w:kinsoku w:val="1"/>
      </w:pPr>
      <w:r>
        <w:rPr>
          <w:lang w:val="zh-CN" w:eastAsia="zh-CN"/>
        </w:rPr>
        <w:t>H09</w:t>
      </w:r>
    </w:p>
    <w:p>
      <w:pPr>
        <w:kinsoku w:val="1"/>
      </w:pPr>
      <w:r>
        <w:rPr>
          <w:lang w:val="zh-CN" w:eastAsia="zh-CN"/>
        </w:rPr>
        <w:t>来源﻿：</w:t>
      </w:r>
      <w:hyperlink r:id="rId24">
        <w:r>
          <w:rPr>
            <w:color w:val="89651E"/>
            <w:lang w:val="zh-CN" w:eastAsia="zh-CN"/>
          </w:rPr>
          <w:t>RT-2﻿：视觉语言动作模型把网页知识迁移至机器人控制</w:t>
        </w:r>
      </w:hyperlink>
      <w:r>
        <w:rPr>
          <w:lang w:val="zh-CN" w:eastAsia="zh-CN"/>
        </w:rPr>
        <w:t>﻿。机构／作者﻿：Anthony Brohan及共同作者﻿，Google DeepMind﻿。</w:t>
      </w:r>
    </w:p>
    <w:p>
      <w:pPr>
        <w:kinsoku w:val="1"/>
      </w:pPr>
      <w:r>
        <w:rPr>
          <w:lang w:val="zh-CN" w:eastAsia="zh-CN"/>
        </w:rPr>
        <w:t>公开日期﻿：2023-07-28, arXiv v1﻿。事件／统计期﻿：2023年实验﻿；已读全文第3.2节与第5节﻿。读取日期﻿：2026-10-12﻿。</w:t>
      </w:r>
    </w:p>
    <w:p>
      <w:pPr>
        <w:kinsoku w:val="1"/>
      </w:pPr>
      <w:r>
        <w:rPr>
          <w:lang w:val="zh-CN" w:eastAsia="zh-CN"/>
        </w:rPr>
        <w:t>支持与限制﻿：支持动作token生成及语义泛化﻿；作者明确物理技能仍受机器人数据覆盖限制﻿，网页知识本身不赋予新动作﻿。</w:t>
      </w:r>
    </w:p>
    <w:p>
      <w:pPr>
        <w:pStyle w:val="Heading3"/>
        <w:kinsoku w:val="1"/>
      </w:pPr>
      <w:r>
        <w:rPr>
          <w:lang w:val="zh-CN" w:eastAsia="zh-CN"/>
        </w:rPr>
        <w:t>H10</w:t>
      </w:r>
    </w:p>
    <w:p>
      <w:pPr>
        <w:kinsoku w:val="1"/>
      </w:pPr>
      <w:r>
        <w:rPr>
          <w:lang w:val="zh-CN" w:eastAsia="zh-CN"/>
        </w:rPr>
        <w:t>来源﻿：</w:t>
      </w:r>
      <w:hyperlink r:id="rId25">
        <w:r>
          <w:rPr>
            <w:color w:val="89651E"/>
            <w:lang w:val="zh-CN" w:eastAsia="zh-CN"/>
          </w:rPr>
          <w:t>Open X-Embodiment﻿：机器人学习数据集与RT-X模型</w:t>
        </w:r>
      </w:hyperlink>
      <w:r>
        <w:rPr>
          <w:lang w:val="zh-CN" w:eastAsia="zh-CN"/>
        </w:rPr>
        <w:t>﻿。机构／作者﻿：Open X-Embodiment协作组﻿。</w:t>
      </w:r>
    </w:p>
    <w:p>
      <w:pPr>
        <w:kinsoku w:val="1"/>
      </w:pPr>
      <w:r>
        <w:rPr>
          <w:lang w:val="zh-CN" w:eastAsia="zh-CN"/>
        </w:rPr>
        <w:t>公开日期﻿：首版2023-10-13﻿；已读版本2025-05-14﻿，v9﻿。事件／统计期﻿：v9所述数据集﻿；已读PDF第1—2页﻿。读取日期﻿：2026-10-12﻿。</w:t>
      </w:r>
    </w:p>
    <w:p>
      <w:pPr>
        <w:kinsoku w:val="1"/>
      </w:pPr>
      <w:r>
        <w:rPr>
          <w:lang w:val="zh-CN" w:eastAsia="zh-CN"/>
        </w:rPr>
        <w:t>支持与限制﻿：支持22种形态﻿、21家数据贡献机构及操作迁移研究﻿；数量不是出货量﻿，作者所属机构与贡献数据机构的分母不同﻿。</w:t>
      </w:r>
    </w:p>
    <w:p>
      <w:pPr>
        <w:pStyle w:val="Heading3"/>
        <w:kinsoku w:val="1"/>
      </w:pPr>
      <w:r>
        <w:rPr>
          <w:lang w:val="zh-CN" w:eastAsia="zh-CN"/>
        </w:rPr>
        <w:t>H11</w:t>
      </w:r>
    </w:p>
    <w:p>
      <w:pPr>
        <w:kinsoku w:val="1"/>
      </w:pPr>
      <w:r>
        <w:rPr>
          <w:lang w:val="zh-CN" w:eastAsia="zh-CN"/>
        </w:rPr>
        <w:t>来源﻿：</w:t>
      </w:r>
      <w:hyperlink r:id="rId26">
        <w:r>
          <w:rPr>
            <w:color w:val="89651E"/>
            <w:lang w:val="zh-CN" w:eastAsia="zh-CN"/>
          </w:rPr>
          <w:t>Atlas的全电新阶段</w:t>
        </w:r>
      </w:hyperlink>
      <w:r>
        <w:rPr>
          <w:lang w:val="zh-CN" w:eastAsia="zh-CN"/>
        </w:rPr>
        <w:t>﻿。机构／作者﻿：波士顿动力﻿。</w:t>
      </w:r>
    </w:p>
    <w:p>
      <w:pPr>
        <w:kinsoku w:val="1"/>
      </w:pPr>
      <w:r>
        <w:rPr>
          <w:lang w:val="zh-CN" w:eastAsia="zh-CN"/>
        </w:rPr>
        <w:t>公开日期﻿：2024年4月﻿；当前原页未显示准确日﻿。事件／统计期﻿：2024年4月全电平台转折﻿；已读原文﻿，月份由官方回顾材料佐证﻿。读取日期﻿：2026-10-12﻿。</w:t>
      </w:r>
    </w:p>
    <w:p>
      <w:pPr>
        <w:kinsoku w:val="1"/>
      </w:pPr>
      <w:r>
        <w:rPr>
          <w:lang w:val="zh-CN" w:eastAsia="zh-CN"/>
        </w:rPr>
        <w:t>支持与限制﻿：支持全电转型和分阶段现代测试计划﻿；原始发布准确日期未解决﻿。测试计划不证明批量部署或经审计回报﻿。</w:t>
      </w:r>
    </w:p>
    <w:p>
      <w:pPr>
        <w:kinsoku w:val="1"/>
      </w:pPr>
      <w:r>
        <w:rPr>
          <w:lang w:val="zh-CN" w:eastAsia="zh-CN"/>
        </w:rPr>
      </w:r>
      <w:hyperlink r:id="rId27">
        <w:r>
          <w:rPr>
            <w:color w:val="89651E"/>
            <w:lang w:val="zh-CN" w:eastAsia="zh-CN"/>
          </w:rPr>
          <w:t>配套来源﻿：Atlas从研究机器人到工业人形机器人的演进﻿；波士顿动力﻿；当前页面未显示发布日期﻿。</w:t>
        </w:r>
      </w:hyperlink>
      <w:r>
        <w:rPr>
          <w:lang w:val="zh-CN" w:eastAsia="zh-CN"/>
        </w:rPr>
        <w:t>读取日期﻿：2026-10-12﻿。</w:t>
      </w:r>
    </w:p>
    <w:p>
      <w:pPr>
        <w:pStyle w:val="Heading3"/>
        <w:kinsoku w:val="1"/>
      </w:pPr>
      <w:r>
        <w:rPr>
          <w:lang w:val="zh-CN" w:eastAsia="zh-CN"/>
        </w:rPr>
        <w:t>H12</w:t>
      </w:r>
    </w:p>
    <w:p>
      <w:pPr>
        <w:kinsoku w:val="1"/>
      </w:pPr>
      <w:r>
        <w:rPr>
          <w:lang w:val="zh-CN" w:eastAsia="zh-CN"/>
        </w:rPr>
        <w:t>来源﻿：</w:t>
      </w:r>
      <w:hyperlink r:id="rId28">
        <w:r>
          <w:rPr>
            <w:color w:val="89651E"/>
            <w:lang w:val="zh-CN" w:eastAsia="zh-CN"/>
          </w:rPr>
          <w:t>Gemini Robotics把AI带入物理世界</w:t>
        </w:r>
      </w:hyperlink>
      <w:r>
        <w:rPr>
          <w:lang w:val="zh-CN" w:eastAsia="zh-CN"/>
        </w:rPr>
        <w:t>﻿。机构／作者﻿：Google DeepMind﻿，Carolina Parada﻿。</w:t>
      </w:r>
    </w:p>
    <w:p>
      <w:pPr>
        <w:kinsoku w:val="1"/>
      </w:pPr>
      <w:r>
        <w:rPr>
          <w:lang w:val="zh-CN" w:eastAsia="zh-CN"/>
        </w:rPr>
        <w:t>公开日期﻿：2025-03-12﻿。事件／统计期﻿：模型与合作公告﻿；描述主要采用双臂平台训练﻿。读取日期﻿：2026-10-12﻿。</w:t>
      </w:r>
    </w:p>
    <w:p>
      <w:pPr>
        <w:kinsoku w:val="1"/>
      </w:pPr>
      <w:r>
        <w:rPr>
          <w:lang w:val="zh-CN" w:eastAsia="zh-CN"/>
        </w:rPr>
        <w:t>支持与限制﻿：支持已公布的VLA／ER分工及平台研究﻿；演示与合作不证明独立工业验收或通用全身自主能力﻿。</w:t>
      </w:r>
    </w:p>
    <w:p>
      <w:pPr>
        <w:pStyle w:val="Heading3"/>
        <w:kinsoku w:val="1"/>
      </w:pPr>
      <w:r>
        <w:rPr>
          <w:lang w:val="zh-CN" w:eastAsia="zh-CN"/>
        </w:rPr>
        <w:t>H13</w:t>
      </w:r>
    </w:p>
    <w:p>
      <w:pPr>
        <w:kinsoku w:val="1"/>
      </w:pPr>
      <w:r>
        <w:rPr>
          <w:lang w:val="zh-CN" w:eastAsia="zh-CN"/>
        </w:rPr>
        <w:t>来源﻿：</w:t>
      </w:r>
      <w:hyperlink r:id="rId29">
        <w:r>
          <w:rPr>
            <w:color w:val="89651E"/>
            <w:lang w:val="zh-CN" w:eastAsia="zh-CN"/>
          </w:rPr>
          <w:t>NVIDIA发布Isaac GR00T N1及加速机器人开发的仿真框架</w:t>
        </w:r>
      </w:hyperlink>
      <w:r>
        <w:rPr>
          <w:lang w:val="zh-CN" w:eastAsia="zh-CN"/>
        </w:rPr>
        <w:t>﻿。机构／作者﻿：NVIDIA﻿。</w:t>
      </w:r>
    </w:p>
    <w:p>
      <w:pPr>
        <w:kinsoku w:val="1"/>
      </w:pPr>
      <w:r>
        <w:rPr>
          <w:lang w:val="zh-CN" w:eastAsia="zh-CN"/>
        </w:rPr>
        <w:t>公开日期﻿：2025-03-18﻿。事件／统计期﻿：模型与工具发布﻿。读取日期﻿：2026-10-12﻿。</w:t>
      </w:r>
    </w:p>
    <w:p>
      <w:pPr>
        <w:kinsoku w:val="1"/>
      </w:pPr>
      <w:r>
        <w:rPr>
          <w:lang w:val="zh-CN" w:eastAsia="zh-CN"/>
        </w:rPr>
        <w:t>支持与限制﻿：支持可定制推理／动作模型及后训练﻿；标题的首创属厂商措辞﻿，开放程度须按许可限定﻿。演示不证明部署盈利﻿。</w:t>
      </w:r>
    </w:p>
    <w:p>
      <w:pPr>
        <w:pStyle w:val="Heading3"/>
        <w:kinsoku w:val="1"/>
      </w:pPr>
      <w:r>
        <w:rPr>
          <w:lang w:val="zh-CN" w:eastAsia="zh-CN"/>
        </w:rPr>
        <w:t>H14</w:t>
      </w:r>
    </w:p>
    <w:p>
      <w:pPr>
        <w:kinsoku w:val="1"/>
      </w:pPr>
      <w:r>
        <w:rPr>
          <w:lang w:val="zh-CN" w:eastAsia="zh-CN"/>
        </w:rPr>
        <w:t>来源﻿：</w:t>
      </w:r>
      <w:hyperlink r:id="rId30">
        <w:r>
          <w:rPr>
            <w:color w:val="89651E"/>
            <w:lang w:val="zh-CN" w:eastAsia="zh-CN"/>
          </w:rPr>
          <w:t>Gemini Robotics 1.5把AI智能体带入物理世界</w:t>
        </w:r>
      </w:hyperlink>
      <w:r>
        <w:rPr>
          <w:lang w:val="zh-CN" w:eastAsia="zh-CN"/>
        </w:rPr>
        <w:t>﻿。机构／作者﻿：Google DeepMind﻿，Carolina Parada﻿。</w:t>
      </w:r>
    </w:p>
    <w:p>
      <w:pPr>
        <w:kinsoku w:val="1"/>
      </w:pPr>
      <w:r>
        <w:rPr>
          <w:lang w:val="zh-CN" w:eastAsia="zh-CN"/>
        </w:rPr>
        <w:t>公开日期﻿：2025-09-25﻿。事件／统计期﻿：发布时的能力与接入安排﻿。读取日期﻿：2026-10-12﻿。</w:t>
      </w:r>
    </w:p>
    <w:p>
      <w:pPr>
        <w:kinsoku w:val="1"/>
      </w:pPr>
      <w:r>
        <w:rPr>
          <w:lang w:val="zh-CN" w:eastAsia="zh-CN"/>
        </w:rPr>
        <w:t>支持与限制﻿：支持规划﻿、工具使用及已测试跨平台迁移﻿；接入描述属于发布时状态﻿。特定平台研究不证明普适迁移﻿、工厂就绪或份额领先﻿。</w:t>
      </w:r>
    </w:p>
    <w:p>
      <w:pPr>
        <w:pStyle w:val="Heading3"/>
        <w:kinsoku w:val="1"/>
      </w:pPr>
      <w:r>
        <w:rPr>
          <w:lang w:val="zh-CN" w:eastAsia="zh-CN"/>
        </w:rPr>
        <w:t>H15</w:t>
      </w:r>
    </w:p>
    <w:p>
      <w:pPr>
        <w:kinsoku w:val="1"/>
      </w:pPr>
      <w:r>
        <w:rPr>
          <w:lang w:val="zh-CN" w:eastAsia="zh-CN"/>
        </w:rPr>
        <w:t>来源﻿：</w:t>
      </w:r>
      <w:hyperlink r:id="rId31">
        <w:r>
          <w:rPr>
            <w:color w:val="89651E"/>
            <w:lang w:val="zh-CN" w:eastAsia="zh-CN"/>
          </w:rPr>
          <w:t>波士顿动力发布新Atlas机器人</w:t>
        </w:r>
      </w:hyperlink>
      <w:r>
        <w:rPr>
          <w:lang w:val="zh-CN" w:eastAsia="zh-CN"/>
        </w:rPr>
        <w:t>﻿。机构／作者﻿：波士顿动力﻿。</w:t>
      </w:r>
    </w:p>
    <w:p>
      <w:pPr>
        <w:kinsoku w:val="1"/>
      </w:pPr>
      <w:r>
        <w:rPr>
          <w:lang w:val="zh-CN" w:eastAsia="zh-CN"/>
        </w:rPr>
        <w:t>公开日期﻿：2026-01-05﻿。事件／统计期﻿：CES发布﻿、制造公告及2026年交付／部署计划﻿。读取日期﻿：2026-10-12﻿。</w:t>
      </w:r>
    </w:p>
    <w:p>
      <w:pPr>
        <w:kinsoku w:val="1"/>
      </w:pPr>
      <w:r>
        <w:rPr>
          <w:lang w:val="zh-CN" w:eastAsia="zh-CN"/>
        </w:rPr>
        <w:t>支持与限制﻿：支持产品发布与制造／部署公告﻿；已安排或计划机队不证明已交付数量﻿、收入或独立验证性能﻿。</w:t>
      </w:r>
    </w:p>
    <w:p>
      <w:pPr>
        <w:pStyle w:val="Heading3"/>
        <w:kinsoku w:val="1"/>
      </w:pPr>
      <w:r>
        <w:rPr>
          <w:lang w:val="zh-CN" w:eastAsia="zh-CN"/>
        </w:rPr>
        <w:t>H16</w:t>
      </w:r>
    </w:p>
    <w:p>
      <w:pPr>
        <w:kinsoku w:val="1"/>
      </w:pPr>
      <w:r>
        <w:rPr>
          <w:lang w:val="zh-CN" w:eastAsia="zh-CN"/>
        </w:rPr>
        <w:t>来源﻿：</w:t>
      </w:r>
      <w:hyperlink r:id="rId32">
        <w:r>
          <w:rPr>
            <w:color w:val="89651E"/>
            <w:lang w:val="zh-CN" w:eastAsia="zh-CN"/>
          </w:rPr>
          <w:t>NVIDIA扩展开放模型系列﻿，支持智能体﻿、物理与医疗AI</w:t>
        </w:r>
      </w:hyperlink>
      <w:r>
        <w:rPr>
          <w:lang w:val="zh-CN" w:eastAsia="zh-CN"/>
        </w:rPr>
        <w:t>﻿。机构／作者﻿：NVIDIA﻿。</w:t>
      </w:r>
    </w:p>
    <w:p>
      <w:pPr>
        <w:kinsoku w:val="1"/>
      </w:pPr>
      <w:r>
        <w:rPr>
          <w:lang w:val="zh-CN" w:eastAsia="zh-CN"/>
        </w:rPr>
        <w:t>公开日期﻿：2026-03-16﻿。事件／统计期﻿：N1.7公告﻿；预告N2预计2026年底可用﻿。读取日期﻿：2026-10-12﻿。</w:t>
      </w:r>
    </w:p>
    <w:p>
      <w:pPr>
        <w:kinsoku w:val="1"/>
      </w:pPr>
      <w:r>
        <w:rPr>
          <w:lang w:val="zh-CN" w:eastAsia="zh-CN"/>
        </w:rPr>
        <w:t>支持与限制﻿：支持已公布路线图﻿；厂商商业可行性与基准表述不等于独立验证回报﻿。N2预告本身不证明截止日前已发布﻿。</w:t>
      </w:r>
    </w:p>
    <w:p>
      <w:pPr>
        <w:pStyle w:val="Heading3"/>
        <w:kinsoku w:val="1"/>
      </w:pPr>
      <w:r>
        <w:rPr>
          <w:lang w:val="zh-CN" w:eastAsia="zh-CN"/>
        </w:rPr>
        <w:t>H17</w:t>
      </w:r>
    </w:p>
    <w:p>
      <w:pPr>
        <w:kinsoku w:val="1"/>
      </w:pPr>
      <w:r>
        <w:rPr>
          <w:lang w:val="zh-CN" w:eastAsia="zh-CN"/>
        </w:rPr>
        <w:t>来源﻿：</w:t>
      </w:r>
      <w:hyperlink r:id="rId33">
        <w:r>
          <w:rPr>
            <w:color w:val="89651E"/>
            <w:lang w:val="zh-CN" w:eastAsia="zh-CN"/>
          </w:rPr>
          <w:t>宝马斯帕坦堡工厂完成人形机器人测试</w:t>
        </w:r>
      </w:hyperlink>
      <w:r>
        <w:rPr>
          <w:lang w:val="zh-CN" w:eastAsia="zh-CN"/>
        </w:rPr>
        <w:t>﻿。机构／作者﻿：宝马集团﻿。</w:t>
      </w:r>
    </w:p>
    <w:p>
      <w:pPr>
        <w:kinsoku w:val="1"/>
      </w:pPr>
      <w:r>
        <w:rPr>
          <w:lang w:val="zh-CN" w:eastAsia="zh-CN"/>
        </w:rPr>
        <w:t>公开日期﻿：2024-08-06﻿。事件／统计期﻿：发布前数周试验﻿；准确试验日期未公开﻿。读取日期﻿：2026-10-12﻿。</w:t>
      </w:r>
    </w:p>
    <w:p>
      <w:pPr>
        <w:kinsoku w:val="1"/>
      </w:pPr>
      <w:r>
        <w:rPr>
          <w:lang w:val="zh-CN" w:eastAsia="zh-CN"/>
        </w:rPr>
        <w:t>支持与限制﻿：支持初期试验及公告当时状态﻿；当时没有确定重新引入时间表﻿，后续试点状态见H01﻿。供应商能力表述保留归属﻿。</w:t>
      </w:r>
    </w:p>
    <w:p>
      <w:pPr>
        <w:pStyle w:val="Heading3"/>
        <w:kinsoku w:val="1"/>
      </w:pPr>
      <w:r>
        <w:rPr>
          <w:lang w:val="zh-CN" w:eastAsia="zh-CN"/>
        </w:rPr>
        <w:t>H18</w:t>
      </w:r>
    </w:p>
    <w:p>
      <w:pPr>
        <w:kinsoku w:val="1"/>
      </w:pPr>
      <w:r>
        <w:rPr>
          <w:lang w:val="zh-CN" w:eastAsia="zh-CN"/>
        </w:rPr>
        <w:t>来源﻿：</w:t>
      </w:r>
      <w:hyperlink r:id="rId34">
        <w:r>
          <w:rPr>
            <w:color w:val="89651E"/>
            <w:lang w:val="zh-CN" w:eastAsia="zh-CN"/>
          </w:rPr>
          <w:t>无表征的智能</w:t>
        </w:r>
      </w:hyperlink>
      <w:r>
        <w:rPr>
          <w:lang w:val="zh-CN" w:eastAsia="zh-CN"/>
        </w:rPr>
        <w:t>﻿。机构／作者﻿：Rodney A. Brooks﻿，MIT人工智能实验室﻿。</w:t>
      </w:r>
    </w:p>
    <w:p>
      <w:pPr>
        <w:kinsoku w:val="1"/>
      </w:pPr>
      <w:r>
        <w:rPr>
          <w:lang w:val="zh-CN" w:eastAsia="zh-CN"/>
        </w:rPr>
        <w:t>公开日期﻿：1991年期刊发表﻿；稿件于1987年9月收到﻿。事件／统计期﻿：历史研究﻿；Artificial Intelligence第47卷﻿，第139—159页﻿；已读引言与方法﻿。读取日期﻿：2026-10-12﻿。</w:t>
      </w:r>
    </w:p>
    <w:p>
      <w:pPr>
        <w:kinsoku w:val="1"/>
      </w:pPr>
      <w:r>
        <w:rPr>
          <w:lang w:val="zh-CN" w:eastAsia="zh-CN"/>
        </w:rPr>
        <w:t>支持与限制﻿：支持行为式真实感知／行动方法﻿；既不能证明发明全部具身智能﻿，也不能认定与当代基础模型架构相同﻿。</w:t>
      </w:r>
    </w:p>
    <w:p>
      <w:pPr>
        <w:pStyle w:val="Heading3"/>
        <w:kinsoku w:val="1"/>
      </w:pPr>
      <w:r>
        <w:rPr>
          <w:lang w:val="zh-CN" w:eastAsia="zh-CN"/>
        </w:rPr>
        <w:t>H19</w:t>
      </w:r>
    </w:p>
    <w:p>
      <w:pPr>
        <w:kinsoku w:val="1"/>
      </w:pPr>
      <w:r>
        <w:rPr>
          <w:lang w:val="zh-CN" w:eastAsia="zh-CN"/>
        </w:rPr>
        <w:t>来源﻿：</w:t>
      </w:r>
      <w:hyperlink r:id="rId35">
        <w:r>
          <w:rPr>
            <w:color w:val="89651E"/>
            <w:lang w:val="zh-CN" w:eastAsia="zh-CN"/>
          </w:rPr>
          <w:t>《﻿人形机器人创新发展指导意见﻿》解读</w:t>
        </w:r>
      </w:hyperlink>
      <w:r>
        <w:rPr>
          <w:lang w:val="zh-CN" w:eastAsia="zh-CN"/>
        </w:rPr>
        <w:t>﻿。机构／作者﻿：中国工业和信息化部﻿。</w:t>
      </w:r>
    </w:p>
    <w:p>
      <w:pPr>
        <w:kinsoku w:val="1"/>
      </w:pPr>
      <w:r>
        <w:rPr>
          <w:lang w:val="zh-CN" w:eastAsia="zh-CN"/>
        </w:rPr>
        <w:t>公开日期﻿：2023-11-02公开﻿；基础文件成文2023-10-20﻿。事件／统计期﻿：2025年及2027年政策目标﻿；文号工信部科〔﻿2023﻿〕193号﻿。读取日期﻿：2026-10-12﻿。</w:t>
      </w:r>
    </w:p>
    <w:p>
      <w:pPr>
        <w:kinsoku w:val="1"/>
      </w:pPr>
      <w:r>
        <w:rPr>
          <w:lang w:val="zh-CN" w:eastAsia="zh-CN"/>
        </w:rPr>
        <w:t>支持与限制﻿：支持政策重点﻿、短板判断和目标﻿；目标不是已实现结果﻿、出货或订单﻿，也不证明所有性能指标领先﻿。</w:t>
      </w:r>
    </w:p>
    <w:p>
      <w:pPr>
        <w:kinsoku w:val="1"/>
      </w:pPr>
      <w:r>
        <w:rPr>
          <w:lang w:val="zh-CN" w:eastAsia="zh-CN"/>
        </w:rPr>
      </w:r>
      <w:hyperlink r:id="rId36">
        <w:r>
          <w:rPr>
            <w:color w:val="89651E"/>
            <w:lang w:val="zh-CN" w:eastAsia="zh-CN"/>
          </w:rPr>
          <w:t>基础通知﻿：工信部﻿；2023-11-02公开﻿；文件成文2023-10-20﻿。</w:t>
        </w:r>
      </w:hyperlink>
      <w:r>
        <w:rPr>
          <w:lang w:val="zh-CN" w:eastAsia="zh-CN"/>
        </w:rPr>
        <w:t>读取日期﻿：2026-10-12﻿。</w:t>
      </w:r>
    </w:p>
    <w:p>
      <w:pPr>
        <w:pStyle w:val="Heading2"/>
        <w:kinsoku w:val="1"/>
      </w:pPr>
      <w:r>
        <w:rPr>
          <w:lang w:val="zh-CN" w:eastAsia="zh-CN"/>
        </w:rPr>
        <w:t>市场与企业经营材料</w:t>
      </w:r>
    </w:p>
    <w:p>
      <w:pPr>
        <w:pStyle w:val="Heading3"/>
        <w:kinsoku w:val="1"/>
      </w:pPr>
      <w:r>
        <w:rPr>
          <w:lang w:val="zh-CN" w:eastAsia="zh-CN"/>
        </w:rPr>
        <w:t>M01</w:t>
      </w:r>
    </w:p>
    <w:p>
      <w:pPr>
        <w:kinsoku w:val="1"/>
      </w:pPr>
      <w:r>
        <w:rPr>
          <w:lang w:val="zh-CN" w:eastAsia="zh-CN"/>
        </w:rPr>
        <w:t>机构/作者﻿：Smart Analytics Global; Linda Sui﻿。发布日期﻿：2026-08-10﻿。事件/统计期﻿：H1 2026; H1 2025 comparator﻿。读取日﻿：2026-10-12﻿。</w:t>
      </w:r>
    </w:p>
    <w:p>
      <w:pPr>
        <w:kinsoku w:val="1"/>
      </w:pPr>
      <w:r>
        <w:rPr>
          <w:lang w:val="zh-CN" w:eastAsia="zh-CN"/>
        </w:rPr>
        <w:t>原文﻿：</w:t>
      </w:r>
      <w:hyperlink r:id="rId37">
        <w:r>
          <w:rPr>
            <w:color w:val="89651E"/>
            <w:lang w:val="zh-CN" w:eastAsia="zh-CN"/>
          </w:rPr>
          <w:t>SAG: Global Humanoid Robot Shipments Surged 272% YoY to 19.1K Units in 1H 2026; AGIBOT Overtook Unitree for No. 1 Position</w:t>
        </w:r>
      </w:hyperlink>
      <w:r>
        <w:rPr>
          <w:lang w:val="zh-CN" w:eastAsia="zh-CN"/>
        </w:rPr>
        <w:t>﻿。位置﻿：Exhibit 1: Global Humanoid Robot Shipments and Vendor Share: 1H 2025 vs. 1H 2026; definition footnote and associated vendor paragraphs﻿。</w:t>
      </w:r>
    </w:p>
    <w:p>
      <w:pPr>
        <w:kinsoku w:val="1"/>
      </w:pPr>
      <w:r>
        <w:rPr>
          <w:lang w:val="zh-CN" w:eastAsia="zh-CN"/>
        </w:rPr>
        <w:t>支持与限制﻿：支持 SAG 四形态定义下的全球人形机器人出货份额图﻿。原图已于 2026-10-12 再次目视核对﻿；2026 年上半年公布份额合计 100%﻿，各厂显示舍入量合计 19,000 台﻿，印刷总计 19,100 台﻿。数据为初步估计﻿，包含轮式﻿，不代表整个具身智能产业份额或生产性劳动力存量﻿。</w:t>
      </w:r>
    </w:p>
    <w:p>
      <w:pPr>
        <w:pStyle w:val="Heading3"/>
        <w:kinsoku w:val="1"/>
      </w:pPr>
      <w:r>
        <w:rPr>
          <w:lang w:val="zh-CN" w:eastAsia="zh-CN"/>
        </w:rPr>
        <w:t>M04</w:t>
      </w:r>
    </w:p>
    <w:p>
      <w:pPr>
        <w:kinsoku w:val="1"/>
      </w:pPr>
      <w:r>
        <w:rPr>
          <w:lang w:val="zh-CN" w:eastAsia="zh-CN"/>
        </w:rPr>
        <w:t>机构/作者﻿：Omdia; Lian Jye Su﻿。发布日期﻿：2026-01-08, PDF version﻿。事件/统计期﻿：Calendar 2024 and 2025; 2024–2035 forecast﻿。读取日﻿：2026-10-12﻿。</w:t>
      </w:r>
    </w:p>
    <w:p>
      <w:pPr>
        <w:kinsoku w:val="1"/>
      </w:pPr>
      <w:r>
        <w:rPr>
          <w:lang w:val="zh-CN" w:eastAsia="zh-CN"/>
        </w:rPr>
        <w:t>原文﻿：</w:t>
      </w:r>
      <w:hyperlink r:id="rId38">
        <w:r>
          <w:rPr>
            <w:color w:val="89651E"/>
            <w:lang w:val="zh-CN" w:eastAsia="zh-CN"/>
          </w:rPr>
          <w:t>Omdia Market Radar: General-purpose Embodied Intelligent Robots, 2026</w:t>
        </w:r>
      </w:hyperlink>
      <w:r>
        <w:rPr>
          <w:lang w:val="zh-CN" w:eastAsia="zh-CN"/>
        </w:rPr>
        <w:t>﻿。位置﻿：PDF page 7, Table 1: Robotics shipments by vendor, 2024 and 2025﻿。</w:t>
      </w:r>
    </w:p>
    <w:p>
      <w:pPr>
        <w:kinsoku w:val="1"/>
      </w:pPr>
      <w:r>
        <w:rPr>
          <w:lang w:val="zh-CN" w:eastAsia="zh-CN"/>
        </w:rPr>
        <w:t>支持与限制﻿：淘汰图表来源﻿。原 PDF 全文已读且第 7–8 页已看﻿；出货表有 50 台内部差异﻿，Unitree 后续披露高于旧估计﻿。含轮式双臂躯干﻿；官网提示已更新﻿，未读取现付费正文﻿。</w:t>
      </w:r>
    </w:p>
    <w:p>
      <w:pPr>
        <w:pStyle w:val="Heading3"/>
        <w:kinsoku w:val="1"/>
      </w:pPr>
      <w:r>
        <w:rPr>
          <w:lang w:val="zh-CN" w:eastAsia="zh-CN"/>
        </w:rPr>
        <w:t>M02</w:t>
      </w:r>
    </w:p>
    <w:p>
      <w:pPr>
        <w:kinsoku w:val="1"/>
      </w:pPr>
      <w:r>
        <w:rPr>
          <w:lang w:val="zh-CN" w:eastAsia="zh-CN"/>
        </w:rPr>
        <w:t>机构/作者﻿：Counterpoint Research; Team Counterpoint﻿。发布日期﻿：2026-01-14﻿。事件/统计期﻿：Calendar 2025 additional installations﻿。读取日﻿：2026-10-12﻿。</w:t>
      </w:r>
    </w:p>
    <w:p>
      <w:pPr>
        <w:kinsoku w:val="1"/>
      </w:pPr>
      <w:r>
        <w:rPr>
          <w:lang w:val="zh-CN" w:eastAsia="zh-CN"/>
        </w:rPr>
        <w:t>原文﻿：</w:t>
      </w:r>
      <w:hyperlink r:id="rId39">
        <w:r>
          <w:rPr>
            <w:color w:val="89651E"/>
            <w:lang w:val="zh-CN" w:eastAsia="zh-CN"/>
          </w:rPr>
          <w:t>Global Humanoid Robot Installations Reach 16,000 Units in 2025 as Mass Production Picks Up Pace</w:t>
        </w:r>
      </w:hyperlink>
      <w:r>
        <w:rPr>
          <w:lang w:val="zh-CN" w:eastAsia="zh-CN"/>
        </w:rPr>
        <w:t>﻿。位置﻿：Original public article and graphic where specified﻿。</w:t>
      </w:r>
    </w:p>
    <w:p>
      <w:pPr>
        <w:kinsoku w:val="1"/>
      </w:pPr>
      <w:r>
        <w:rPr>
          <w:lang w:val="zh-CN" w:eastAsia="zh-CN"/>
        </w:rPr>
        <w:t>支持与限制﻿：支持 2025 全球年度新增安装份额﻿，原图一位小数已看﻿。含轮式﻿，但完整计数方法未披露﻿；不能由约数反推精确量或改称出货﻿。正文年份疑似误排﻿，发布日期采用页面元数据 2026-01-14﻿。</w:t>
      </w:r>
    </w:p>
    <w:p>
      <w:pPr>
        <w:pStyle w:val="Heading3"/>
        <w:kinsoku w:val="1"/>
      </w:pPr>
      <w:r>
        <w:rPr>
          <w:lang w:val="zh-CN" w:eastAsia="zh-CN"/>
        </w:rPr>
        <w:t>M03</w:t>
      </w:r>
    </w:p>
    <w:p>
      <w:pPr>
        <w:kinsoku w:val="1"/>
      </w:pPr>
      <w:r>
        <w:rPr>
          <w:lang w:val="zh-CN" w:eastAsia="zh-CN"/>
        </w:rPr>
        <w:t>机构/作者﻿：Counterpoint Research; Ethan Qi and Shaochen Wang﻿。发布日期﻿：2026-08-20﻿。事件/统计期﻿：H1 2026; full-year 2026 forecast﻿。读取日﻿：2026-10-12﻿。</w:t>
      </w:r>
    </w:p>
    <w:p>
      <w:pPr>
        <w:kinsoku w:val="1"/>
      </w:pPr>
      <w:r>
        <w:rPr>
          <w:lang w:val="zh-CN" w:eastAsia="zh-CN"/>
        </w:rPr>
        <w:t>原文﻿：</w:t>
      </w:r>
      <w:hyperlink r:id="rId40">
        <w:r>
          <w:rPr>
            <w:color w:val="89651E"/>
            <w:lang w:val="zh-CN" w:eastAsia="zh-CN"/>
          </w:rPr>
          <w:t>Global Humanoid Robot Shipments Soar Nearly 300% YoY in H1 2026, Driven by Commercial Deployments</w:t>
        </w:r>
      </w:hyperlink>
      <w:r>
        <w:rPr>
          <w:lang w:val="zh-CN" w:eastAsia="zh-CN"/>
        </w:rPr>
        <w:t>﻿。位置﻿：Original public article and graphic where specified﻿。</w:t>
      </w:r>
    </w:p>
    <w:p>
      <w:pPr>
        <w:kinsoku w:val="1"/>
      </w:pPr>
      <w:r>
        <w:rPr>
          <w:lang w:val="zh-CN" w:eastAsia="zh-CN"/>
        </w:rPr>
        <w:t>支持与限制﻿：支持分别归属来源的 2026 年上半年出货估计与用途分类﻿。公开页面 HTML 中的免费全文已读取﻿，并于 2026-10-12 查看原始公司份额图﻿：AGIBOT 43.1%﻿、Unitree 31.1%﻿、Galbot 5.0%﻿、UBTECH 4.4%﻿、Leju 2.9%﻿、其他 13.4%﻿，合计 99.9%﻿，网页注明舍入﻿。该来源总量超过 22,000 台﻿，与 SAG 的约 19,100 台不同﻿；不能平均估计或拼接分母﻿。含轮式产品﻿，全年 2026 数字属于预测﻿。此原图仅作为来源差异审计证据﻿，不选为第三张最终份额图﻿。</w:t>
      </w:r>
    </w:p>
    <w:p>
      <w:pPr>
        <w:pStyle w:val="Heading3"/>
        <w:kinsoku w:val="1"/>
      </w:pPr>
      <w:r>
        <w:rPr>
          <w:lang w:val="zh-CN" w:eastAsia="zh-CN"/>
        </w:rPr>
        <w:t>M05</w:t>
      </w:r>
    </w:p>
    <w:p>
      <w:pPr>
        <w:kinsoku w:val="1"/>
      </w:pPr>
      <w:r>
        <w:rPr>
          <w:lang w:val="zh-CN" w:eastAsia="zh-CN"/>
        </w:rPr>
        <w:t>机构/作者﻿：Unitree Robotics; distributed by PRNewswire﻿。发布日期﻿：2026-01-29; statement dated 2026-01-22﻿。事件/统计期﻿：Calendar 2025 shipments and production﻿。读取日﻿：2026-10-12﻿。</w:t>
      </w:r>
    </w:p>
    <w:p>
      <w:pPr>
        <w:kinsoku w:val="1"/>
      </w:pPr>
      <w:r>
        <w:rPr>
          <w:lang w:val="zh-CN" w:eastAsia="zh-CN"/>
        </w:rPr>
        <w:t>原文﻿：</w:t>
      </w:r>
      <w:hyperlink r:id="rId41">
        <w:r>
          <w:rPr>
            <w:color w:val="89651E"/>
            <w:lang w:val="zh-CN" w:eastAsia="zh-CN"/>
          </w:rPr>
          <w:t>Unitree Ranks No.1 Globally in Humanoid Robot Shipments, Exceeding 5,500 Units in 2025</w:t>
        </w:r>
      </w:hyperlink>
      <w:r>
        <w:rPr>
          <w:lang w:val="zh-CN" w:eastAsia="zh-CN"/>
        </w:rPr>
        <w:t>﻿。位置﻿：Full statement numbered points 2-4﻿。</w:t>
      </w:r>
    </w:p>
    <w:p>
      <w:pPr>
        <w:kinsoku w:val="1"/>
      </w:pPr>
      <w:r>
        <w:rPr>
          <w:lang w:val="zh-CN" w:eastAsia="zh-CN"/>
        </w:rPr>
        <w:t>支持与限制﻿：支持宇树自报纯人形发货与生产区分﻿，排除双臂轮式﻿。公告不提供可比全球分母﻿，不能独立证明排名﻿，也不能替换旧机构表的单项并重算全部份额﻿。</w:t>
      </w:r>
    </w:p>
    <w:p>
      <w:pPr>
        <w:kinsoku w:val="1"/>
      </w:pPr>
      <w:r>
        <w:rPr>
          <w:lang w:val="zh-CN" w:eastAsia="zh-CN"/>
        </w:rPr>
        <w:t>一月公司声明报告生产超过 6,500 台﻿，而五月招股书列 2025 年人形产量 5,716 台﻿。本次实际读取的公开来源未充分解释全部差异﻿，不得自行调和﻿。招股书另区分出货 5,511 台与确认销量 5,215 台﻿。</w:t>
      </w:r>
    </w:p>
    <w:p>
      <w:pPr>
        <w:pStyle w:val="Heading3"/>
        <w:kinsoku w:val="1"/>
      </w:pPr>
      <w:r>
        <w:rPr>
          <w:lang w:val="zh-CN" w:eastAsia="zh-CN"/>
        </w:rPr>
        <w:t>M06</w:t>
      </w:r>
    </w:p>
    <w:p>
      <w:pPr>
        <w:kinsoku w:val="1"/>
      </w:pPr>
      <w:r>
        <w:rPr>
          <w:lang w:val="zh-CN" w:eastAsia="zh-CN"/>
        </w:rPr>
        <w:t>机构/作者﻿：Unitree; Shanghai Stock Exchange public filing﻿。发布日期﻿：2026-05-25﻿。事件/统计期﻿：Calendar 2025; reviewed Q1 2026﻿。读取日﻿：2026-10-12﻿。</w:t>
      </w:r>
    </w:p>
    <w:p>
      <w:pPr>
        <w:kinsoku w:val="1"/>
      </w:pPr>
      <w:r>
        <w:rPr>
          <w:lang w:val="zh-CN" w:eastAsia="zh-CN"/>
        </w:rPr>
        <w:t>原文﻿：</w:t>
      </w:r>
      <w:hyperlink r:id="rId42">
        <w:r>
          <w:rPr>
            <w:color w:val="89651E"/>
            <w:lang w:val="zh-CN" w:eastAsia="zh-CN"/>
          </w:rPr>
          <w:t>宇树科技股份有限公司关于审核中心意见落实函的回复</w:t>
        </w:r>
      </w:hyperlink>
      <w:r>
        <w:rPr>
          <w:lang w:val="zh-CN" w:eastAsia="zh-CN"/>
        </w:rPr>
        <w:t>﻿。位置﻿：PDF pages 3 and8 (printed8-1-3-2,8-1-3-7)﻿。</w:t>
      </w:r>
    </w:p>
    <w:p>
      <w:pPr>
        <w:kinsoku w:val="1"/>
      </w:pPr>
      <w:r>
        <w:rPr>
          <w:lang w:val="zh-CN" w:eastAsia="zh-CN"/>
        </w:rPr>
        <w:t>支持与限制﻿：支持公司营收﻿、综合与主营毛利率﻿、扣非归母利润﻿。集团包含四足和组件﻿；扣非不等于净利润或人形分部利润﻿。简写的人形收入比例须核对完整招股书的主营收入分母﻿。</w:t>
      </w:r>
    </w:p>
    <w:p>
      <w:pPr>
        <w:pStyle w:val="Heading3"/>
        <w:kinsoku w:val="1"/>
      </w:pPr>
      <w:r>
        <w:rPr>
          <w:lang w:val="zh-CN" w:eastAsia="zh-CN"/>
        </w:rPr>
        <w:t>M07</w:t>
      </w:r>
    </w:p>
    <w:p>
      <w:pPr>
        <w:kinsoku w:val="1"/>
      </w:pPr>
      <w:r>
        <w:rPr>
          <w:lang w:val="zh-CN" w:eastAsia="zh-CN"/>
        </w:rPr>
        <w:t>机构/作者﻿：Unitree; public prospectus hosted by CNINFO﻿。发布日期﻿：2026-05-25﻿。事件/统计期﻿：Calendar 2025; 2024 comparators﻿。读取日﻿：2026-10-12﻿。</w:t>
      </w:r>
    </w:p>
    <w:p>
      <w:pPr>
        <w:kinsoku w:val="1"/>
      </w:pPr>
      <w:r>
        <w:rPr>
          <w:lang w:val="zh-CN" w:eastAsia="zh-CN"/>
        </w:rPr>
        <w:t>原文﻿：</w:t>
      </w:r>
      <w:hyperlink r:id="rId43">
        <w:r>
          <w:rPr>
            <w:color w:val="89651E"/>
            <w:lang w:val="zh-CN" w:eastAsia="zh-CN"/>
          </w:rPr>
          <w:t>宇树科技股份有限公司招股说明书, May 25, 2026 version</w:t>
        </w:r>
      </w:hyperlink>
      <w:r>
        <w:rPr>
          <w:lang w:val="zh-CN" w:eastAsia="zh-CN"/>
        </w:rPr>
        <w:t>﻿。位置﻿：Printed1-1-138;1-1-198 to200;1-1-206 to207﻿。</w:t>
      </w:r>
    </w:p>
    <w:p>
      <w:pPr>
        <w:kinsoku w:val="1"/>
      </w:pPr>
      <w:r>
        <w:rPr>
          <w:lang w:val="zh-CN" w:eastAsia="zh-CN"/>
        </w:rPr>
        <w:t>支持与限制﻿：支持出货与确认销量差异﻿、人形主营收入及平均售价﻿，部分差异由验收时点解释﻿。收入占比的分母是主营收入而非合并收入﻿；均价体现公司已确认销售组合﻿，不是全球报价﻿。</w:t>
      </w:r>
    </w:p>
    <w:p>
      <w:pPr>
        <w:kinsoku w:val="1"/>
      </w:pPr>
      <w:r>
        <w:rPr>
          <w:lang w:val="zh-CN" w:eastAsia="zh-CN"/>
        </w:rPr>
        <w:t>一月公司声明报告生产超过 6,500 台﻿，而五月招股书列 2025 年人形产量 5,716 台﻿。本次实际读取的公开来源未充分解释全部差异﻿，不得自行调和﻿。招股书另区分出货 5,511 台与确认销量 5,215 台﻿。</w:t>
      </w:r>
    </w:p>
    <w:p>
      <w:pPr>
        <w:pStyle w:val="Heading3"/>
        <w:kinsoku w:val="1"/>
      </w:pPr>
      <w:r>
        <w:rPr>
          <w:lang w:val="zh-CN" w:eastAsia="zh-CN"/>
        </w:rPr>
        <w:t>M08</w:t>
      </w:r>
    </w:p>
    <w:p>
      <w:pPr>
        <w:kinsoku w:val="1"/>
      </w:pPr>
      <w:r>
        <w:rPr>
          <w:lang w:val="zh-CN" w:eastAsia="zh-CN"/>
        </w:rPr>
        <w:t>机构/作者﻿：UBTECH; Hong Kong Exchanges and Clearing﻿。发布日期﻿：2026-03-31﻿。事件/统计期﻿：Calendar 2025﻿。读取日﻿：2026-10-12﻿。</w:t>
      </w:r>
    </w:p>
    <w:p>
      <w:pPr>
        <w:kinsoku w:val="1"/>
      </w:pPr>
      <w:r>
        <w:rPr>
          <w:lang w:val="zh-CN" w:eastAsia="zh-CN"/>
        </w:rPr>
        <w:t>原文﻿：</w:t>
      </w:r>
      <w:hyperlink r:id="rId44">
        <w:r>
          <w:rPr>
            <w:color w:val="89651E"/>
            <w:lang w:val="zh-CN" w:eastAsia="zh-CN"/>
          </w:rPr>
          <w:t>Annual Results Announcement for the Year Ended December 31, 2025</w:t>
        </w:r>
      </w:hyperlink>
      <w:r>
        <w:rPr>
          <w:lang w:val="zh-CN" w:eastAsia="zh-CN"/>
        </w:rPr>
        <w:t>﻿。位置﻿：PDF10(sales);24to28(financial review);29(non-GAAP reconciliation)﻿。</w:t>
      </w:r>
    </w:p>
    <w:p>
      <w:pPr>
        <w:kinsoku w:val="1"/>
      </w:pPr>
      <w:r>
        <w:rPr>
          <w:lang w:val="zh-CN" w:eastAsia="zh-CN"/>
        </w:rPr>
        <w:t>支持与限制﻿：支持集团营收亏损与全尺寸具身人形产品及服务分项﻿、销量﻿。分项含服务﻿，集团有其他业务﻿；集团毛利或亏损不能变成独立人形盈利指标﻿，也不能按台数直接均摊﻿。</w:t>
      </w:r>
    </w:p>
    <w:p>
      <w:pPr>
        <w:pStyle w:val="Heading3"/>
        <w:kinsoku w:val="1"/>
      </w:pPr>
      <w:r>
        <w:rPr>
          <w:lang w:val="zh-CN" w:eastAsia="zh-CN"/>
        </w:rPr>
        <w:t>M09</w:t>
      </w:r>
    </w:p>
    <w:p>
      <w:pPr>
        <w:kinsoku w:val="1"/>
      </w:pPr>
      <w:r>
        <w:rPr>
          <w:lang w:val="zh-CN" w:eastAsia="zh-CN"/>
        </w:rPr>
        <w:t>机构/作者﻿：UBTECH; Hong Kong Exchanges and Clearing﻿。发布日期﻿：2026-08-28﻿。事件/统计期﻿：H1 2026; H1 2025 comparators﻿。读取日﻿：2026-10-12﻿。</w:t>
      </w:r>
    </w:p>
    <w:p>
      <w:pPr>
        <w:kinsoku w:val="1"/>
      </w:pPr>
      <w:r>
        <w:rPr>
          <w:lang w:val="zh-CN" w:eastAsia="zh-CN"/>
        </w:rPr>
        <w:t>原文﻿：</w:t>
      </w:r>
      <w:hyperlink r:id="rId45">
        <w:r>
          <w:rPr>
            <w:color w:val="89651E"/>
            <w:lang w:val="zh-CN" w:eastAsia="zh-CN"/>
          </w:rPr>
          <w:t>Interim Results Announcement for the Six Months Ended June 30, 2026</w:t>
        </w:r>
      </w:hyperlink>
      <w:r>
        <w:rPr>
          <w:lang w:val="zh-CN" w:eastAsia="zh-CN"/>
        </w:rPr>
        <w:t>﻿。位置﻿：PDF 第 1–4 页﻿：财务摘要与收入构成﻿；第 12 页﻿：销量﻿；第 24 页﻿：非 GAAP 调节﻿；第 34 页﻿：法定净亏损﻿。第 2 页财务摘要也列期间亏损﻿。</w:t>
      </w:r>
    </w:p>
    <w:p>
      <w:pPr>
        <w:kinsoku w:val="1"/>
      </w:pPr>
      <w:r>
        <w:rPr>
          <w:lang w:val="zh-CN" w:eastAsia="zh-CN"/>
        </w:rPr>
        <w:t>支持与限制﻿：支持未经审计中期经营与闭合的公司收入构成﻿。人形分项包含轮式和双足﻿，收购改变集团范围及分类﻿；销量不是机构出货﻿，公司收入结构不是市场份额﻿，半年不是全年﻿。</w:t>
      </w:r>
    </w:p>
    <w:p>
      <w:pPr>
        <w:pStyle w:val="Heading3"/>
        <w:kinsoku w:val="1"/>
      </w:pPr>
      <w:r>
        <w:rPr>
          <w:lang w:val="zh-CN" w:eastAsia="zh-CN"/>
        </w:rPr>
        <w:t>M10</w:t>
      </w:r>
    </w:p>
    <w:p>
      <w:pPr>
        <w:kinsoku w:val="1"/>
      </w:pPr>
      <w:r>
        <w:rPr>
          <w:lang w:val="zh-CN" w:eastAsia="zh-CN"/>
        </w:rPr>
        <w:t>机构/作者﻿：Figure AI﻿。发布日期﻿：2025-09-16﻿。事件/统计期﻿：Financing announcement as of 2025-09-16﻿。读取日﻿：2026-10-12﻿。</w:t>
      </w:r>
    </w:p>
    <w:p>
      <w:pPr>
        <w:kinsoku w:val="1"/>
      </w:pPr>
      <w:r>
        <w:rPr>
          <w:lang w:val="zh-CN" w:eastAsia="zh-CN"/>
        </w:rPr>
        <w:t>原文﻿：</w:t>
      </w:r>
      <w:hyperlink r:id="rId46">
        <w:r>
          <w:rPr>
            <w:color w:val="89651E"/>
            <w:lang w:val="zh-CN" w:eastAsia="zh-CN"/>
          </w:rPr>
          <w:t>Figure Exceeds $1B in Series C Funding at $39B Post-Money Valuation</w:t>
        </w:r>
      </w:hyperlink>
      <w:r>
        <w:rPr>
          <w:lang w:val="zh-CN" w:eastAsia="zh-CN"/>
        </w:rPr>
        <w:t>﻿。位置﻿：Main funding announcement and use of proceeds bullets﻿。</w:t>
      </w:r>
    </w:p>
    <w:p>
      <w:pPr>
        <w:kinsoku w:val="1"/>
      </w:pPr>
      <w:r>
        <w:rPr>
          <w:lang w:val="zh-CN" w:eastAsia="zh-CN"/>
        </w:rPr>
        <w:t>支持与限制﻿：支持承诺融资﻿、私募估值及资金拟用于制造算力数据﻿。不是营收﻿、保证订单或经营利润﻿；承诺资金不自动等于到账现金﻿，投资参与不等于供应或客户合同﻿。</w:t>
      </w:r>
    </w:p>
    <w:p>
      <w:pPr>
        <w:pStyle w:val="Heading3"/>
        <w:kinsoku w:val="1"/>
      </w:pPr>
      <w:r>
        <w:rPr>
          <w:lang w:val="zh-CN" w:eastAsia="zh-CN"/>
        </w:rPr>
        <w:t>M11</w:t>
      </w:r>
    </w:p>
    <w:p>
      <w:pPr>
        <w:kinsoku w:val="1"/>
      </w:pPr>
      <w:r>
        <w:rPr>
          <w:lang w:val="zh-CN" w:eastAsia="zh-CN"/>
        </w:rPr>
        <w:t>机构/作者﻿：Apptronik﻿。发布日期﻿：2026-02-11﻿。事件/统计期﻿：Financing announcement as of 2026-02-11﻿。读取日﻿：2026-10-12﻿。</w:t>
      </w:r>
    </w:p>
    <w:p>
      <w:pPr>
        <w:kinsoku w:val="1"/>
      </w:pPr>
      <w:r>
        <w:rPr>
          <w:lang w:val="zh-CN" w:eastAsia="zh-CN"/>
        </w:rPr>
        <w:t>原文﻿：</w:t>
      </w:r>
      <w:hyperlink r:id="rId47">
        <w:r>
          <w:rPr>
            <w:color w:val="89651E"/>
            <w:lang w:val="zh-CN" w:eastAsia="zh-CN"/>
          </w:rPr>
          <w:t>Apptronik Closes Over $935 Million Series A with New $520 Million Extension Round</w:t>
        </w:r>
      </w:hyperlink>
      <w:r>
        <w:rPr>
          <w:lang w:val="zh-CN" w:eastAsia="zh-CN"/>
        </w:rPr>
        <w:t>﻿。位置﻿：Funding and commercial partnerships paragraphs﻿。</w:t>
      </w:r>
    </w:p>
    <w:p>
      <w:pPr>
        <w:kinsoku w:val="1"/>
      </w:pPr>
      <w:r>
        <w:rPr>
          <w:lang w:val="zh-CN" w:eastAsia="zh-CN"/>
        </w:rPr>
        <w:t>支持与限制﻿：支持新增融资﻿、累计 A 轮总额和列明的合作方﻿。新增轮已包含在累计额内﻿，不能重复加总﻿。伙伴与试点不能证明台数﻿、合同营收或产能利用﻿；原公告未给绝对估值﻿。</w:t>
      </w:r>
    </w:p>
    <w:p>
      <w:pPr>
        <w:pStyle w:val="Heading2"/>
        <w:kinsoku w:val="1"/>
      </w:pPr>
      <w:r>
        <w:rPr>
          <w:lang w:val="zh-CN" w:eastAsia="zh-CN"/>
        </w:rPr>
        <w:t>模型 部件与运行约束材料</w:t>
      </w:r>
    </w:p>
    <w:p>
      <w:pPr>
        <w:pStyle w:val="Heading3"/>
        <w:kinsoku w:val="1"/>
      </w:pPr>
      <w:r>
        <w:rPr>
          <w:lang w:val="zh-CN" w:eastAsia="zh-CN"/>
        </w:rPr>
        <w:t>V02</w:t>
      </w:r>
    </w:p>
    <w:p>
      <w:pPr>
        <w:kinsoku w:val="1"/>
      </w:pPr>
      <w:r>
        <w:rPr>
          <w:lang w:val="zh-CN" w:eastAsia="zh-CN"/>
        </w:rPr>
        <w:t>机构﻿：NVIDIA Research﻿。发布﻿：2025-12-15﻿。事件/统计期﻿：N1.6研究版发布﻿。读取﻿：2026-10-12﻿。</w:t>
      </w:r>
    </w:p>
    <w:p>
      <w:pPr>
        <w:kinsoku w:val="1"/>
      </w:pPr>
      <w:r>
        <w:rPr>
          <w:lang w:val="zh-CN" w:eastAsia="zh-CN"/>
        </w:rPr>
      </w:r>
      <w:hyperlink r:id="rId48">
        <w:r>
          <w:rPr>
            <w:color w:val="89651E"/>
            <w:lang w:val="zh-CN" w:eastAsia="zh-CN"/>
          </w:rPr>
          <w:t>GR00T N1.6: An Improved Open Foundation Model for Generalist Humanoid Robots</w:t>
        </w:r>
      </w:hyperlink>
      <w:r>
        <w:rPr>
          <w:lang w:val="zh-CN" w:eastAsia="zh-CN"/>
        </w:rPr>
      </w:r>
    </w:p>
    <w:p>
      <w:pPr>
        <w:kinsoku w:val="1"/>
      </w:pPr>
      <w:r>
        <w:rPr>
          <w:lang w:val="zh-CN" w:eastAsia="zh-CN"/>
        </w:rPr>
        <w:t>支持与限制﻿：N1.6补充训练数据并在多种真实平台评估﻿。研究及加速视频不证明生产可靠性或无适配部署﻿。</w:t>
      </w:r>
    </w:p>
    <w:p>
      <w:pPr>
        <w:pStyle w:val="Heading3"/>
        <w:kinsoku w:val="1"/>
      </w:pPr>
      <w:r>
        <w:rPr>
          <w:lang w:val="zh-CN" w:eastAsia="zh-CN"/>
        </w:rPr>
        <w:t>V03</w:t>
      </w:r>
    </w:p>
    <w:p>
      <w:pPr>
        <w:kinsoku w:val="1"/>
      </w:pPr>
      <w:r>
        <w:rPr>
          <w:lang w:val="zh-CN" w:eastAsia="zh-CN"/>
        </w:rPr>
        <w:t>机构﻿：NVIDIA Developer Blog﻿。发布﻿：2025-08-25﻿。事件/统计期﻿：2025年8月25日上市及厂商基准﻿。读取﻿：2026-10-12﻿。</w:t>
      </w:r>
    </w:p>
    <w:p>
      <w:pPr>
        <w:kinsoku w:val="1"/>
      </w:pPr>
      <w:r>
        <w:rPr>
          <w:lang w:val="zh-CN" w:eastAsia="zh-CN"/>
        </w:rPr>
      </w:r>
      <w:hyperlink r:id="rId49">
        <w:r>
          <w:rPr>
            <w:color w:val="89651E"/>
            <w:lang w:val="zh-CN" w:eastAsia="zh-CN"/>
          </w:rPr>
          <w:t>Introducing NVIDIA Jetson Thor, the Ultimate Platform for Physical AI</w:t>
        </w:r>
      </w:hyperlink>
      <w:r>
        <w:rPr>
          <w:lang w:val="zh-CN" w:eastAsia="zh-CN"/>
        </w:rPr>
      </w:r>
    </w:p>
    <w:p>
      <w:pPr>
        <w:kinsoku w:val="1"/>
      </w:pPr>
      <w:r>
        <w:rPr>
          <w:lang w:val="zh-CN" w:eastAsia="zh-CN"/>
        </w:rPr>
        <w:t>支持与限制﻿：Thor提供算力及开发设施﻿。模块功率﻿、Sparse FP4算力不等于整机能耗﻿、续航或系统成本﻿；读取正文及表格﻿，未用AI摘要﻿。</w:t>
      </w:r>
    </w:p>
    <w:p>
      <w:pPr>
        <w:pStyle w:val="Heading3"/>
        <w:kinsoku w:val="1"/>
      </w:pPr>
      <w:r>
        <w:rPr>
          <w:lang w:val="zh-CN" w:eastAsia="zh-CN"/>
        </w:rPr>
        <w:t>V05</w:t>
      </w:r>
    </w:p>
    <w:p>
      <w:pPr>
        <w:kinsoku w:val="1"/>
      </w:pPr>
      <w:r>
        <w:rPr>
          <w:lang w:val="zh-CN" w:eastAsia="zh-CN"/>
        </w:rPr>
        <w:t>机构﻿：Physical Intelligence; Kevin Black et al.﻿。发布﻿：2025-04-22﻿。事件/统计期﻿：论文v1报告的研究实验﻿。读取﻿：2026-10-12﻿。</w:t>
      </w:r>
    </w:p>
    <w:p>
      <w:pPr>
        <w:kinsoku w:val="1"/>
      </w:pPr>
      <w:r>
        <w:rPr>
          <w:lang w:val="zh-CN" w:eastAsia="zh-CN"/>
        </w:rPr>
      </w:r>
      <w:hyperlink r:id="rId50">
        <w:r>
          <w:rPr>
            <w:color w:val="89651E"/>
            <w:lang w:val="zh-CN" w:eastAsia="zh-CN"/>
          </w:rPr>
          <w:t>π0.5: a Vision-Language-Action Model with Open-World Generalization</w:t>
        </w:r>
      </w:hyperlink>
      <w:r>
        <w:rPr>
          <w:lang w:val="zh-CN" w:eastAsia="zh-CN"/>
        </w:rPr>
      </w:r>
    </w:p>
    <w:p>
      <w:pPr>
        <w:kinsoku w:val="1"/>
      </w:pPr>
      <w:r>
        <w:rPr>
          <w:lang w:val="zh-CN" w:eastAsia="zh-CN"/>
        </w:rPr>
        <w:t>支持与限制﻿：研究在未见住宅测试操作﻿，也报告把手﻿、遮挡﻿、上下文﻿、子任务选择局限﻿。非已交付消费服务﻿，部分取消试验被移除﻿。</w:t>
      </w:r>
    </w:p>
    <w:p>
      <w:pPr>
        <w:pStyle w:val="Heading3"/>
        <w:kinsoku w:val="1"/>
      </w:pPr>
      <w:r>
        <w:rPr>
          <w:lang w:val="zh-CN" w:eastAsia="zh-CN"/>
        </w:rPr>
        <w:t>V06</w:t>
      </w:r>
    </w:p>
    <w:p>
      <w:pPr>
        <w:kinsoku w:val="1"/>
      </w:pPr>
      <w:r>
        <w:rPr>
          <w:lang w:val="zh-CN" w:eastAsia="zh-CN"/>
        </w:rPr>
        <w:t>机构﻿：Harmonic Drive LLC﻿。发布﻿：未披露﻿；截止日观察官网﻿。事件/统计期﻿：2026年10月12日读取官网技术页﻿。读取﻿：2026-10-12﻿。</w:t>
      </w:r>
    </w:p>
    <w:p>
      <w:pPr>
        <w:kinsoku w:val="1"/>
      </w:pPr>
      <w:r>
        <w:rPr>
          <w:lang w:val="zh-CN" w:eastAsia="zh-CN"/>
        </w:rPr>
      </w:r>
      <w:hyperlink r:id="rId51">
        <w:r>
          <w:rPr>
            <w:color w:val="89651E"/>
            <w:lang w:val="zh-CN" w:eastAsia="zh-CN"/>
          </w:rPr>
          <w:t>Harmonic Drive Strain Wave Gear Technology</w:t>
        </w:r>
      </w:hyperlink>
      <w:r>
        <w:rPr>
          <w:lang w:val="zh-CN" w:eastAsia="zh-CN"/>
        </w:rPr>
      </w:r>
    </w:p>
    <w:p>
      <w:pPr>
        <w:kinsoku w:val="1"/>
      </w:pPr>
      <w:r>
        <w:rPr>
          <w:lang w:val="zh-CN" w:eastAsia="zh-CN"/>
        </w:rPr>
        <w:t>支持与限制﻿：证明谐波传动类别及三类主要组件﻿。未证实向本报告人形厂供货﻿，也不证明整机精度﻿。</w:t>
      </w:r>
    </w:p>
    <w:p>
      <w:pPr>
        <w:pStyle w:val="Heading3"/>
        <w:kinsoku w:val="1"/>
      </w:pPr>
      <w:r>
        <w:rPr>
          <w:lang w:val="zh-CN" w:eastAsia="zh-CN"/>
        </w:rPr>
        <w:t>V07</w:t>
      </w:r>
    </w:p>
    <w:p>
      <w:pPr>
        <w:kinsoku w:val="1"/>
      </w:pPr>
      <w:r>
        <w:rPr>
          <w:lang w:val="zh-CN" w:eastAsia="zh-CN"/>
        </w:rPr>
        <w:t>机构﻿：maxon﻿。发布﻿：未披露﻿；截止日观察官网﻿。事件/统计期﻿：2026年10月12日读取官网产品页﻿。读取﻿：2026-10-12﻿。</w:t>
      </w:r>
    </w:p>
    <w:p>
      <w:pPr>
        <w:kinsoku w:val="1"/>
      </w:pPr>
      <w:r>
        <w:rPr>
          <w:lang w:val="zh-CN" w:eastAsia="zh-CN"/>
        </w:rPr>
      </w:r>
      <w:hyperlink r:id="rId52">
        <w:r>
          <w:rPr>
            <w:color w:val="89651E"/>
            <w:lang w:val="zh-CN" w:eastAsia="zh-CN"/>
          </w:rPr>
          <w:t>High Efficiency Robotic Joints</w:t>
        </w:r>
      </w:hyperlink>
      <w:r>
        <w:rPr>
          <w:lang w:val="zh-CN" w:eastAsia="zh-CN"/>
        </w:rPr>
      </w:r>
    </w:p>
    <w:p>
      <w:pPr>
        <w:kinsoku w:val="1"/>
      </w:pPr>
      <w:r>
        <w:rPr>
          <w:lang w:val="zh-CN" w:eastAsia="zh-CN"/>
        </w:rPr>
        <w:t>支持与限制﻿：证明集成准直驱﻿、峰值/连续规格及人形/移动操作用途﻿。功能安全标开发中﻿；代表供应商不等于OEM合同﻿。</w:t>
      </w:r>
    </w:p>
    <w:p>
      <w:pPr>
        <w:pStyle w:val="Heading3"/>
        <w:kinsoku w:val="1"/>
      </w:pPr>
      <w:r>
        <w:rPr>
          <w:lang w:val="zh-CN" w:eastAsia="zh-CN"/>
        </w:rPr>
        <w:t>V08</w:t>
      </w:r>
    </w:p>
    <w:p>
      <w:pPr>
        <w:kinsoku w:val="1"/>
      </w:pPr>
      <w:r>
        <w:rPr>
          <w:lang w:val="zh-CN" w:eastAsia="zh-CN"/>
        </w:rPr>
        <w:t>机构﻿：GelSight﻿。发布﻿：未披露﻿；截止日观察官网﻿。事件/统计期﻿：2026年10月12日读取官网产品页﻿。读取﻿：2026-10-12﻿。</w:t>
      </w:r>
    </w:p>
    <w:p>
      <w:pPr>
        <w:kinsoku w:val="1"/>
      </w:pPr>
      <w:r>
        <w:rPr>
          <w:lang w:val="zh-CN" w:eastAsia="zh-CN"/>
        </w:rPr>
      </w:r>
      <w:hyperlink r:id="rId53">
        <w:r>
          <w:rPr>
            <w:color w:val="89651E"/>
            <w:lang w:val="zh-CN" w:eastAsia="zh-CN"/>
          </w:rPr>
          <w:t>DIGIT Tactile Sensor</w:t>
        </w:r>
      </w:hyperlink>
      <w:r>
        <w:rPr>
          <w:lang w:val="zh-CN" w:eastAsia="zh-CN"/>
        </w:rPr>
      </w:r>
    </w:p>
    <w:p>
      <w:pPr>
        <w:kinsoku w:val="1"/>
      </w:pPr>
      <w:r>
        <w:rPr>
          <w:lang w:val="zh-CN" w:eastAsia="zh-CN"/>
        </w:rPr>
        <w:t>支持与限制﻿：证明触觉研究传感器及训练用途﻿。GelSight DIGIT与Agility Digit不同﻿；无OEM供货或整机安全证明﻿。</w:t>
      </w:r>
    </w:p>
    <w:p>
      <w:pPr>
        <w:pStyle w:val="Heading3"/>
        <w:kinsoku w:val="1"/>
      </w:pPr>
      <w:r>
        <w:rPr>
          <w:lang w:val="zh-CN" w:eastAsia="zh-CN"/>
        </w:rPr>
        <w:t>V09</w:t>
      </w:r>
    </w:p>
    <w:p>
      <w:pPr>
        <w:kinsoku w:val="1"/>
      </w:pPr>
      <w:r>
        <w:rPr>
          <w:lang w:val="zh-CN" w:eastAsia="zh-CN"/>
        </w:rPr>
        <w:t>机构﻿：Orbbec﻿。发布﻿：2025-08-28﻿。事件/统计期﻿：相机及计算平台适配公告﻿。读取﻿：2026-10-12﻿。</w:t>
      </w:r>
    </w:p>
    <w:p>
      <w:pPr>
        <w:kinsoku w:val="1"/>
      </w:pPr>
      <w:r>
        <w:rPr>
          <w:lang w:val="zh-CN" w:eastAsia="zh-CN"/>
        </w:rPr>
      </w:r>
      <w:hyperlink r:id="rId54">
        <w:r>
          <w:rPr>
            <w:color w:val="89651E"/>
            <w:lang w:val="zh-CN" w:eastAsia="zh-CN"/>
          </w:rPr>
          <w:t>Humanoid Robots See Smarter: Orbbec 3D Cameras Are Integrated with NVIDIA Jetson Thor</w:t>
        </w:r>
      </w:hyperlink>
      <w:r>
        <w:rPr>
          <w:lang w:val="zh-CN" w:eastAsia="zh-CN"/>
        </w:rPr>
      </w:r>
    </w:p>
    <w:p>
      <w:pPr>
        <w:kinsoku w:val="1"/>
      </w:pPr>
      <w:r>
        <w:rPr>
          <w:lang w:val="zh-CN" w:eastAsia="zh-CN"/>
        </w:rPr>
        <w:t>支持与限制﻿：记录Gemini 330与Thor适配﻿，说明视觉及计算接口﻿。适配不证明所有人形厂供货或部署性能﻿。</w:t>
      </w:r>
    </w:p>
    <w:p>
      <w:pPr>
        <w:pStyle w:val="Heading3"/>
        <w:kinsoku w:val="1"/>
      </w:pPr>
      <w:r>
        <w:rPr>
          <w:lang w:val="zh-CN" w:eastAsia="zh-CN"/>
        </w:rPr>
        <w:t>V10</w:t>
      </w:r>
    </w:p>
    <w:p>
      <w:pPr>
        <w:kinsoku w:val="1"/>
      </w:pPr>
      <w:r>
        <w:rPr>
          <w:lang w:val="zh-CN" w:eastAsia="zh-CN"/>
        </w:rPr>
        <w:t>机构﻿：Unitree Robotics﻿。发布﻿：未披露﻿；截止日观察官网﻿。事件/统计期﻿：2026年10月12日读取官网规格与价格﻿。读取﻿：2026-10-12﻿。</w:t>
      </w:r>
    </w:p>
    <w:p>
      <w:pPr>
        <w:kinsoku w:val="1"/>
      </w:pPr>
      <w:r>
        <w:rPr>
          <w:lang w:val="zh-CN" w:eastAsia="zh-CN"/>
        </w:rPr>
      </w:r>
      <w:hyperlink r:id="rId55">
        <w:r>
          <w:rPr>
            <w:color w:val="89651E"/>
            <w:lang w:val="zh-CN" w:eastAsia="zh-CN"/>
          </w:rPr>
          <w:t>Unitree G1</w:t>
        </w:r>
      </w:hyperlink>
      <w:r>
        <w:rPr>
          <w:lang w:val="zh-CN" w:eastAsia="zh-CN"/>
        </w:rPr>
      </w:r>
    </w:p>
    <w:p>
      <w:pPr>
        <w:kinsoku w:val="1"/>
      </w:pPr>
      <w:r>
        <w:rPr>
          <w:lang w:val="zh-CN" w:eastAsia="zh-CN"/>
        </w:rPr>
        <w:t>支持与限制﻿：证明G1/EDU配置﻿、开发权限及姿态依赖载荷﻿。规格属厂商工况数据﻿；无日期页面当前价未用来重构历史﻿。</w:t>
      </w:r>
    </w:p>
    <w:p>
      <w:pPr>
        <w:pStyle w:val="Heading3"/>
        <w:kinsoku w:val="1"/>
      </w:pPr>
      <w:r>
        <w:rPr>
          <w:lang w:val="zh-CN" w:eastAsia="zh-CN"/>
        </w:rPr>
        <w:t>V11</w:t>
      </w:r>
    </w:p>
    <w:p>
      <w:pPr>
        <w:kinsoku w:val="1"/>
      </w:pPr>
      <w:r>
        <w:rPr>
          <w:lang w:val="zh-CN" w:eastAsia="zh-CN"/>
        </w:rPr>
        <w:t>机构﻿：AGIBOT﻿。发布﻿：2026-06-28﻿。事件/统计期﻿：截至2026年6月28日累计生产里程碑﻿。读取﻿：2026-10-12﻿。</w:t>
      </w:r>
    </w:p>
    <w:p>
      <w:pPr>
        <w:kinsoku w:val="1"/>
      </w:pPr>
      <w:r>
        <w:rPr>
          <w:lang w:val="zh-CN" w:eastAsia="zh-CN"/>
        </w:rPr>
      </w:r>
      <w:hyperlink r:id="rId56">
        <w:r>
          <w:rPr>
            <w:color w:val="89651E"/>
            <w:lang w:val="zh-CN" w:eastAsia="zh-CN"/>
          </w:rPr>
          <w:t>AGIBOT﻿’s 15,000th Robot Rolls Off the Production Line, Marking a New Milestone in Embodied AI Deployment</w:t>
        </w:r>
      </w:hyperlink>
      <w:r>
        <w:rPr>
          <w:lang w:val="zh-CN" w:eastAsia="zh-CN"/>
        </w:rPr>
      </w:r>
    </w:p>
    <w:p>
      <w:pPr>
        <w:kinsoku w:val="1"/>
      </w:pPr>
      <w:r>
        <w:rPr>
          <w:lang w:val="zh-CN" w:eastAsia="zh-CN"/>
        </w:rPr>
        <w:t>支持与限制﻿：记录累计生产里程碑与模型硬件结合﻿。下线不等于年销量﻿、验收或工作机队﻿；覆盖混合产品组合﻿。</w:t>
      </w:r>
    </w:p>
    <w:p>
      <w:pPr>
        <w:pStyle w:val="Heading3"/>
        <w:kinsoku w:val="1"/>
      </w:pPr>
      <w:r>
        <w:rPr>
          <w:lang w:val="zh-CN" w:eastAsia="zh-CN"/>
        </w:rPr>
        <w:t>V12</w:t>
      </w:r>
    </w:p>
    <w:p>
      <w:pPr>
        <w:kinsoku w:val="1"/>
      </w:pPr>
      <w:r>
        <w:rPr>
          <w:lang w:val="zh-CN" w:eastAsia="zh-CN"/>
        </w:rPr>
        <w:t>机构﻿：AGIBOT﻿。发布﻿：未披露﻿；截止日观察官网﻿。事件/统计期﻿：AGIBOT WORLD 2026发布内容﻿；截止日读取﻿。读取﻿：2026-10-12﻿。</w:t>
      </w:r>
    </w:p>
    <w:p>
      <w:pPr>
        <w:kinsoku w:val="1"/>
      </w:pPr>
      <w:r>
        <w:rPr>
          <w:lang w:val="zh-CN" w:eastAsia="zh-CN"/>
        </w:rPr>
      </w:r>
      <w:hyperlink r:id="rId57">
        <w:r>
          <w:rPr>
            <w:color w:val="89651E"/>
            <w:lang w:val="zh-CN" w:eastAsia="zh-CN"/>
          </w:rPr>
          <w:t>AGIBOT Open-Sources ‘﻿AGIBOT WORLD 2026﻿’ Dataset to Accelerate Embodied AI Development</w:t>
        </w:r>
      </w:hyperlink>
      <w:r>
        <w:rPr>
          <w:lang w:val="zh-CN" w:eastAsia="zh-CN"/>
        </w:rPr>
      </w:r>
    </w:p>
    <w:p>
      <w:pPr>
        <w:kinsoku w:val="1"/>
      </w:pPr>
      <w:r>
        <w:rPr>
          <w:lang w:val="zh-CN" w:eastAsia="zh-CN"/>
        </w:rPr>
        <w:t>支持与限制﻿：描述同步多模态﻿、遥操作与错误恢复标注﻿。无官方发布日期﻿，非独立质量审计﻿；再分发须另核许可﻿。</w:t>
      </w:r>
    </w:p>
    <w:p>
      <w:pPr>
        <w:pStyle w:val="Heading3"/>
        <w:kinsoku w:val="1"/>
      </w:pPr>
      <w:r>
        <w:rPr>
          <w:lang w:val="zh-CN" w:eastAsia="zh-CN"/>
        </w:rPr>
        <w:t>V13</w:t>
      </w:r>
    </w:p>
    <w:p>
      <w:pPr>
        <w:kinsoku w:val="1"/>
      </w:pPr>
      <w:r>
        <w:rPr>
          <w:lang w:val="zh-CN" w:eastAsia="zh-CN"/>
        </w:rPr>
        <w:t>机构﻿：AGIBOT﻿。发布﻿：未披露﻿；截止日观察官网﻿。事件/统计期﻿：2026年10月12日读取商业服务目录﻿。读取﻿：2026-10-12﻿。</w:t>
      </w:r>
    </w:p>
    <w:p>
      <w:pPr>
        <w:kinsoku w:val="1"/>
      </w:pPr>
      <w:r>
        <w:rPr>
          <w:lang w:val="zh-CN" w:eastAsia="zh-CN"/>
        </w:rPr>
      </w:r>
      <w:hyperlink r:id="rId58">
        <w:r>
          <w:rPr>
            <w:color w:val="89651E"/>
            <w:lang w:val="zh-CN" w:eastAsia="zh-CN"/>
          </w:rPr>
          <w:t>AGIBOT Data Service / DaaS</w:t>
        </w:r>
      </w:hyperlink>
      <w:r>
        <w:rPr>
          <w:lang w:val="zh-CN" w:eastAsia="zh-CN"/>
        </w:rPr>
      </w:r>
    </w:p>
    <w:p>
      <w:pPr>
        <w:kinsoku w:val="1"/>
      </w:pPr>
      <w:r>
        <w:rPr>
          <w:lang w:val="zh-CN" w:eastAsia="zh-CN"/>
        </w:rPr>
        <w:t>支持与限制﻿：列数据﻿、场景定制﻿、系统租赁和主题订阅﻿；证明业务角色﻿，不证明收入﻿、价格﻿、节省或盈利﻿。页面无日期﻿。</w:t>
      </w:r>
    </w:p>
    <w:p>
      <w:pPr>
        <w:pStyle w:val="Heading3"/>
        <w:kinsoku w:val="1"/>
      </w:pPr>
      <w:r>
        <w:rPr>
          <w:lang w:val="zh-CN" w:eastAsia="zh-CN"/>
        </w:rPr>
        <w:t>V15</w:t>
      </w:r>
    </w:p>
    <w:p>
      <w:pPr>
        <w:kinsoku w:val="1"/>
      </w:pPr>
      <w:r>
        <w:rPr>
          <w:lang w:val="zh-CN" w:eastAsia="zh-CN"/>
        </w:rPr>
        <w:t>机构﻿：UBTECH Robotics﻿。发布﻿：未披露﻿；截止日观察官网﻿。事件/统计期﻿：2026年10月12日读取官网产品页﻿。读取﻿：2026-10-12﻿。</w:t>
      </w:r>
    </w:p>
    <w:p>
      <w:pPr>
        <w:kinsoku w:val="1"/>
      </w:pPr>
      <w:r>
        <w:rPr>
          <w:lang w:val="zh-CN" w:eastAsia="zh-CN"/>
        </w:rPr>
      </w:r>
      <w:hyperlink r:id="rId59">
        <w:r>
          <w:rPr>
            <w:color w:val="89651E"/>
            <w:lang w:val="zh-CN" w:eastAsia="zh-CN"/>
          </w:rPr>
          <w:t>UBTECH Industrial Humanoid Robot Walker S2</w:t>
        </w:r>
      </w:hyperlink>
      <w:r>
        <w:rPr>
          <w:lang w:val="zh-CN" w:eastAsia="zh-CN"/>
        </w:rPr>
      </w:r>
    </w:p>
    <w:p>
      <w:pPr>
        <w:kinsoku w:val="1"/>
      </w:pPr>
      <w:r>
        <w:rPr>
          <w:lang w:val="zh-CN" w:eastAsia="zh-CN"/>
        </w:rPr>
        <w:t>支持与限制﻿：厂商宣称双电池及站点支持3分钟内自主换电﻿；非全天可用率审计﻿，未披露维护停机或全寿命成本﻿。</w:t>
      </w:r>
    </w:p>
    <w:p>
      <w:pPr>
        <w:pStyle w:val="Heading3"/>
        <w:kinsoku w:val="1"/>
      </w:pPr>
      <w:r>
        <w:rPr>
          <w:lang w:val="zh-CN" w:eastAsia="zh-CN"/>
        </w:rPr>
        <w:t>V16</w:t>
      </w:r>
    </w:p>
    <w:p>
      <w:pPr>
        <w:kinsoku w:val="1"/>
      </w:pPr>
      <w:r>
        <w:rPr>
          <w:lang w:val="zh-CN" w:eastAsia="zh-CN"/>
        </w:rPr>
        <w:t>机构﻿：Figure AI﻿。发布﻿：2025-11-19﻿。事件/统计期﻿：11个月部署及其中日常运行阶段﻿。读取﻿：2026-10-12﻿。</w:t>
      </w:r>
    </w:p>
    <w:p>
      <w:pPr>
        <w:kinsoku w:val="1"/>
      </w:pPr>
      <w:r>
        <w:rPr>
          <w:lang w:val="zh-CN" w:eastAsia="zh-CN"/>
        </w:rPr>
      </w:r>
      <w:hyperlink r:id="rId60">
        <w:r>
          <w:rPr>
            <w:color w:val="89651E"/>
            <w:lang w:val="zh-CN" w:eastAsia="zh-CN"/>
          </w:rPr>
          <w:t>F.02 Contributed to the Production of 30,000 Cars at BMW</w:t>
        </w:r>
      </w:hyperlink>
      <w:r>
        <w:rPr>
          <w:lang w:val="zh-CN" w:eastAsia="zh-CN"/>
        </w:rPr>
      </w:r>
    </w:p>
    <w:p>
      <w:pPr>
        <w:kinsoku w:val="1"/>
      </w:pPr>
      <w:r>
        <w:rPr>
          <w:lang w:val="zh-CN" w:eastAsia="zh-CN"/>
        </w:rPr>
        <w:t>支持与限制﻿：说明前臂可靠性和热约束﻿、定义运营指标﻿。准确率与干预目标仍须保留目标属性﻿。</w:t>
      </w:r>
    </w:p>
    <w:p>
      <w:pPr>
        <w:pStyle w:val="Heading3"/>
        <w:kinsoku w:val="1"/>
      </w:pPr>
      <w:r>
        <w:rPr>
          <w:lang w:val="zh-CN" w:eastAsia="zh-CN"/>
        </w:rPr>
        <w:t>V19</w:t>
      </w:r>
    </w:p>
    <w:p>
      <w:pPr>
        <w:kinsoku w:val="1"/>
      </w:pPr>
      <w:r>
        <w:rPr>
          <w:lang w:val="zh-CN" w:eastAsia="zh-CN"/>
        </w:rPr>
        <w:t>机构﻿：Boston Dynamics﻿。发布﻿：未披露﻿；截止日观察官网﻿。事件/统计期﻿：2026年10月12日读取产品规格与路线图﻿。读取﻿：2026-10-12﻿。</w:t>
      </w:r>
    </w:p>
    <w:p>
      <w:pPr>
        <w:kinsoku w:val="1"/>
      </w:pPr>
      <w:r>
        <w:rPr>
          <w:lang w:val="zh-CN" w:eastAsia="zh-CN"/>
        </w:rPr>
      </w:r>
      <w:hyperlink r:id="rId61">
        <w:r>
          <w:rPr>
            <w:color w:val="89651E"/>
            <w:lang w:val="zh-CN" w:eastAsia="zh-CN"/>
          </w:rPr>
          <w:t>Atlas Humanoid Robot</w:t>
        </w:r>
      </w:hyperlink>
      <w:r>
        <w:rPr>
          <w:lang w:val="zh-CN" w:eastAsia="zh-CN"/>
        </w:rPr>
      </w:r>
    </w:p>
    <w:p>
      <w:pPr>
        <w:kinsoku w:val="1"/>
      </w:pPr>
      <w:r>
        <w:rPr>
          <w:lang w:val="zh-CN" w:eastAsia="zh-CN"/>
        </w:rPr>
        <w:t>支持与限制﻿：区分瞬时/持续负载﻿、额定续航﻿、企业接口和早期客户路径﻿。规格非客户平均生产率﻿，此页无价格﻿、规模或ROI﻿。</w:t>
      </w:r>
    </w:p>
    <w:p>
      <w:pPr>
        <w:pStyle w:val="Heading3"/>
        <w:kinsoku w:val="1"/>
      </w:pPr>
      <w:r>
        <w:rPr>
          <w:lang w:val="zh-CN" w:eastAsia="zh-CN"/>
        </w:rPr>
        <w:t>V20</w:t>
      </w:r>
    </w:p>
    <w:p>
      <w:pPr>
        <w:kinsoku w:val="1"/>
      </w:pPr>
      <w:r>
        <w:rPr>
          <w:lang w:val="zh-CN" w:eastAsia="zh-CN"/>
        </w:rPr>
        <w:t>机构﻿：1X Technologies﻿。发布﻿：2025-10-28﻿。事件/统计期﻿：消费预订及计划2026年初期交付﻿。读取﻿：2026-10-12﻿。</w:t>
      </w:r>
    </w:p>
    <w:p>
      <w:pPr>
        <w:kinsoku w:val="1"/>
      </w:pPr>
      <w:r>
        <w:rPr>
          <w:lang w:val="zh-CN" w:eastAsia="zh-CN"/>
        </w:rPr>
      </w:r>
      <w:hyperlink r:id="rId62">
        <w:r>
          <w:rPr>
            <w:color w:val="89651E"/>
            <w:lang w:val="zh-CN" w:eastAsia="zh-CN"/>
          </w:rPr>
          <w:t>NEO Home Robot | Order Today</w:t>
        </w:r>
      </w:hyperlink>
      <w:r>
        <w:rPr>
          <w:lang w:val="zh-CN" w:eastAsia="zh-CN"/>
        </w:rPr>
      </w:r>
    </w:p>
    <w:p>
      <w:pPr>
        <w:kinsoku w:val="1"/>
      </w:pPr>
      <w:r>
        <w:rPr>
          <w:lang w:val="zh-CN" w:eastAsia="zh-CN"/>
        </w:rPr>
        <w:t>支持与限制﻿：记录NEO预订﻿、初期基础自主及专家指导﻿。交付安排和宣传不证明独立核验销量﻿、普遍家务或盈利自主劳务﻿。</w:t>
      </w:r>
    </w:p>
    <w:p>
      <w:pPr>
        <w:pStyle w:val="Heading3"/>
        <w:kinsoku w:val="1"/>
      </w:pPr>
      <w:r>
        <w:rPr>
          <w:lang w:val="zh-CN" w:eastAsia="zh-CN"/>
        </w:rPr>
        <w:t>V21</w:t>
      </w:r>
    </w:p>
    <w:p>
      <w:pPr>
        <w:kinsoku w:val="1"/>
      </w:pPr>
      <w:r>
        <w:rPr>
          <w:lang w:val="zh-CN" w:eastAsia="zh-CN"/>
        </w:rPr>
        <w:t>机构﻿：1X Technologies﻿。发布﻿：未披露﻿；截止日观察官网﻿。事件/统计期﻿：2026年10月12日读取订购条件和规格﻿。读取﻿：2026-10-12﻿。</w:t>
      </w:r>
    </w:p>
    <w:p>
      <w:pPr>
        <w:kinsoku w:val="1"/>
      </w:pPr>
      <w:r>
        <w:rPr>
          <w:lang w:val="zh-CN" w:eastAsia="zh-CN"/>
        </w:rPr>
      </w:r>
      <w:hyperlink r:id="rId63">
        <w:r>
          <w:rPr>
            <w:color w:val="89651E"/>
            <w:lang w:val="zh-CN" w:eastAsia="zh-CN"/>
          </w:rPr>
          <w:t>Order NEO</w:t>
        </w:r>
      </w:hyperlink>
      <w:r>
        <w:rPr>
          <w:lang w:val="zh-CN" w:eastAsia="zh-CN"/>
        </w:rPr>
      </w:r>
    </w:p>
    <w:p>
      <w:pPr>
        <w:kinsoku w:val="1"/>
      </w:pPr>
      <w:r>
        <w:rPr>
          <w:lang w:val="zh-CN" w:eastAsia="zh-CN"/>
        </w:rPr>
        <w:t>支持与限制﻿：描述基础自主﻿、定时专家模式﻿、遥控及不同购买/订阅套餐﻿；未披露干预占比和完整运行成本﻿。续航为厂商额定﻿。</w:t>
      </w:r>
    </w:p>
    <w:p>
      <w:pPr>
        <w:pStyle w:val="Heading3"/>
        <w:kinsoku w:val="1"/>
      </w:pPr>
      <w:r>
        <w:rPr>
          <w:lang w:val="zh-CN" w:eastAsia="zh-CN"/>
        </w:rPr>
        <w:t>V22</w:t>
      </w:r>
    </w:p>
    <w:p>
      <w:pPr>
        <w:kinsoku w:val="1"/>
      </w:pPr>
      <w:r>
        <w:rPr>
          <w:lang w:val="zh-CN" w:eastAsia="zh-CN"/>
        </w:rPr>
        <w:t>机构﻿：Tesla / U.S. SEC﻿。发布﻿：2026-07-23﻿。事件/统计期﻿：2026年上半年及第二季度﻿。读取﻿：2026-10-12﻿。</w:t>
      </w:r>
    </w:p>
    <w:p>
      <w:pPr>
        <w:kinsoku w:val="1"/>
      </w:pPr>
      <w:r>
        <w:rPr>
          <w:lang w:val="zh-CN" w:eastAsia="zh-CN"/>
        </w:rPr>
      </w:r>
      <w:hyperlink r:id="rId64">
        <w:r>
          <w:rPr>
            <w:color w:val="89651E"/>
            <w:lang w:val="zh-CN" w:eastAsia="zh-CN"/>
          </w:rPr>
          <w:t>Tesla Form 10-Q for quarter ended June 30, 2026</w:t>
        </w:r>
      </w:hyperlink>
      <w:r>
        <w:rPr>
          <w:lang w:val="zh-CN" w:eastAsia="zh-CN"/>
        </w:rPr>
      </w:r>
    </w:p>
    <w:p>
      <w:pPr>
        <w:kinsoku w:val="1"/>
      </w:pPr>
      <w:r>
        <w:rPr>
          <w:lang w:val="zh-CN" w:eastAsia="zh-CN"/>
        </w:rPr>
        <w:t>支持与限制﻿：描述Optimus研发及规模生产准备﻿，无独立机器人销量﻿、收入或利润﻿。EDGAR确认2026-07-23申报﻿，报告期截至6月30日﻿。</w:t>
      </w:r>
    </w:p>
    <w:p>
      <w:pPr>
        <w:pStyle w:val="Heading3"/>
        <w:kinsoku w:val="1"/>
      </w:pPr>
      <w:r>
        <w:rPr>
          <w:lang w:val="zh-CN" w:eastAsia="zh-CN"/>
        </w:rPr>
        <w:t>V23</w:t>
      </w:r>
    </w:p>
    <w:p>
      <w:pPr>
        <w:kinsoku w:val="1"/>
      </w:pPr>
      <w:r>
        <w:rPr>
          <w:lang w:val="zh-CN" w:eastAsia="zh-CN"/>
        </w:rPr>
        <w:t>机构﻿：ISO﻿。发布﻿：2025-02-05﻿。事件/统计期﻿：工业本体安全标准第三版﻿。读取﻿：2026-10-12﻿。</w:t>
      </w:r>
    </w:p>
    <w:p>
      <w:pPr>
        <w:kinsoku w:val="1"/>
      </w:pPr>
      <w:r>
        <w:rPr>
          <w:lang w:val="zh-CN" w:eastAsia="zh-CN"/>
        </w:rPr>
      </w:r>
      <w:hyperlink r:id="rId65">
        <w:r>
          <w:rPr>
            <w:color w:val="89651E"/>
            <w:lang w:val="zh-CN" w:eastAsia="zh-CN"/>
          </w:rPr>
          <w:t>ISO 10218-1:2025 — Robotics — Safety requirements — Part 1: Industrial robots</w:t>
        </w:r>
      </w:hyperlink>
      <w:r>
        <w:rPr>
          <w:lang w:val="zh-CN" w:eastAsia="zh-CN"/>
        </w:rPr>
      </w:r>
    </w:p>
    <w:p>
      <w:pPr>
        <w:kinsoku w:val="1"/>
      </w:pPr>
      <w:r>
        <w:rPr>
          <w:lang w:val="zh-CN" w:eastAsia="zh-CN"/>
        </w:rPr>
        <w:t>支持与限制﻿：公开范围针对工业本体且有家庭/公众服务﻿、移动风险排除﻿；未读付费全文﻿，不推论企业认证﻿。</w:t>
      </w:r>
    </w:p>
    <w:p>
      <w:pPr>
        <w:pStyle w:val="Heading3"/>
        <w:kinsoku w:val="1"/>
      </w:pPr>
      <w:r>
        <w:rPr>
          <w:lang w:val="zh-CN" w:eastAsia="zh-CN"/>
        </w:rPr>
        <w:t>V24</w:t>
      </w:r>
    </w:p>
    <w:p>
      <w:pPr>
        <w:kinsoku w:val="1"/>
      </w:pPr>
      <w:r>
        <w:rPr>
          <w:lang w:val="zh-CN" w:eastAsia="zh-CN"/>
        </w:rPr>
        <w:t>机构﻿：ISO﻿。发布﻿：2025-02-05﻿。事件/统计期﻿：工业应用及集成安全标准第二版﻿。读取﻿：2026-10-12﻿。</w:t>
      </w:r>
    </w:p>
    <w:p>
      <w:pPr>
        <w:kinsoku w:val="1"/>
      </w:pPr>
      <w:r>
        <w:rPr>
          <w:lang w:val="zh-CN" w:eastAsia="zh-CN"/>
        </w:rPr>
      </w:r>
      <w:hyperlink r:id="rId66">
        <w:r>
          <w:rPr>
            <w:color w:val="89651E"/>
            <w:lang w:val="zh-CN" w:eastAsia="zh-CN"/>
          </w:rPr>
          <w:t>ISO 10218-2:2025 — Robotics — Safety requirements — Part 2: Industrial robot applications and robot cells</w:t>
        </w:r>
      </w:hyperlink>
      <w:r>
        <w:rPr>
          <w:lang w:val="zh-CN" w:eastAsia="zh-CN"/>
        </w:rPr>
      </w:r>
    </w:p>
    <w:p>
      <w:pPr>
        <w:kinsoku w:val="1"/>
      </w:pPr>
      <w:r>
        <w:rPr>
          <w:lang w:val="zh-CN" w:eastAsia="zh-CN"/>
        </w:rPr>
        <w:t>支持与限制﻿：公开范围针对工业应用与集成﻿，保留用途排除﻿。未读付费全文﻿，未独立评价合规﻿。</w:t>
      </w:r>
    </w:p>
    <w:p>
      <w:pPr>
        <w:pStyle w:val="Heading3"/>
        <w:kinsoku w:val="1"/>
      </w:pPr>
      <w:r>
        <w:rPr>
          <w:lang w:val="zh-CN" w:eastAsia="zh-CN"/>
        </w:rPr>
        <w:t>V25</w:t>
      </w:r>
    </w:p>
    <w:p>
      <w:pPr>
        <w:kinsoku w:val="1"/>
      </w:pPr>
      <w:r>
        <w:rPr>
          <w:lang w:val="zh-CN" w:eastAsia="zh-CN"/>
        </w:rPr>
        <w:t>机构﻿：ISO﻿。发布﻿：2014-02﻿。事件/统计期﻿：个人护理标准﻿；2020年确认﻿，当前官网标待修订﻿。读取﻿：2026-10-12﻿。</w:t>
      </w:r>
    </w:p>
    <w:p>
      <w:pPr>
        <w:kinsoku w:val="1"/>
      </w:pPr>
      <w:r>
        <w:rPr>
          <w:lang w:val="zh-CN" w:eastAsia="zh-CN"/>
        </w:rPr>
      </w:r>
      <w:hyperlink r:id="rId67">
        <w:r>
          <w:rPr>
            <w:color w:val="89651E"/>
            <w:lang w:val="zh-CN" w:eastAsia="zh-CN"/>
          </w:rPr>
          <w:t>ISO 13482:2014 — Robots and robotic devices — Safety requirements for personal care robots</w:t>
        </w:r>
      </w:hyperlink>
      <w:r>
        <w:rPr>
          <w:lang w:val="zh-CN" w:eastAsia="zh-CN"/>
        </w:rPr>
      </w:r>
    </w:p>
    <w:p>
      <w:pPr>
        <w:kinsoku w:val="1"/>
      </w:pPr>
      <w:r>
        <w:rPr>
          <w:lang w:val="zh-CN" w:eastAsia="zh-CN"/>
        </w:rPr>
        <w:t>支持与限制﻿：公开摘要覆盖限定个人护理类别﻿，排除工业﻿、医用等﻿，非全部人形通用标准﻿。未读全文﻿，旧碰撞提示未泛化至2026﻿。</w:t>
      </w:r>
    </w:p>
    <w:p>
      <w:pPr>
        <w:pStyle w:val="Heading3"/>
        <w:kinsoku w:val="1"/>
      </w:pPr>
      <w:r>
        <w:rPr>
          <w:lang w:val="zh-CN" w:eastAsia="zh-CN"/>
        </w:rPr>
        <w:t>V26</w:t>
      </w:r>
    </w:p>
    <w:p>
      <w:pPr>
        <w:kinsoku w:val="1"/>
      </w:pPr>
      <w:r>
        <w:rPr>
          <w:lang w:val="zh-CN" w:eastAsia="zh-CN"/>
        </w:rPr>
        <w:t>机构﻿：Association for Advancing Automation (A3)﻿。发布﻿：2026-10-09﻿。事件/统计期﻿：2026年标准更新及6月发布R15.08 Part 3﻿。读取﻿：2026-10-12﻿。</w:t>
      </w:r>
    </w:p>
    <w:p>
      <w:pPr>
        <w:kinsoku w:val="1"/>
      </w:pPr>
      <w:r>
        <w:rPr>
          <w:lang w:val="zh-CN" w:eastAsia="zh-CN"/>
        </w:rPr>
      </w:r>
      <w:hyperlink r:id="rId68">
        <w:r>
          <w:rPr>
            <w:color w:val="89651E"/>
            <w:lang w:val="zh-CN" w:eastAsia="zh-CN"/>
          </w:rPr>
          <w:t>New Developments in Mobile Robot Safety and Interoperability</w:t>
        </w:r>
      </w:hyperlink>
      <w:r>
        <w:rPr>
          <w:lang w:val="zh-CN" w:eastAsia="zh-CN"/>
        </w:rPr>
      </w:r>
    </w:p>
    <w:p>
      <w:pPr>
        <w:kinsoku w:val="1"/>
      </w:pPr>
      <w:r>
        <w:rPr>
          <w:lang w:val="zh-CN" w:eastAsia="zh-CN"/>
        </w:rPr>
        <w:t>支持与限制﻿：A3对自身标准工作说明动态稳定移动机器人﻿、旁人和生命周期评估﻿；非整机认证﻿，也不表示没有适用标准﻿。</w:t>
      </w:r>
    </w:p>
    <w:p>
      <w:pPr>
        <w:pStyle w:val="Heading3"/>
        <w:kinsoku w:val="1"/>
      </w:pPr>
      <w:r>
        <w:rPr>
          <w:lang w:val="zh-CN" w:eastAsia="zh-CN"/>
        </w:rPr>
        <w:t>V27</w:t>
      </w:r>
    </w:p>
    <w:p>
      <w:pPr>
        <w:kinsoku w:val="1"/>
      </w:pPr>
      <w:r>
        <w:rPr>
          <w:lang w:val="zh-CN" w:eastAsia="zh-CN"/>
        </w:rPr>
        <w:t>机构﻿：Agility Robotics / FORT Robotics﻿。发布﻿：2026-10-01﻿。事件/统计期﻿：Digit 5 合作备忘录﻿；前代版本累计运行超过 65,000 小时﻿。读取﻿：2026-10-12﻿。</w:t>
      </w:r>
    </w:p>
    <w:p>
      <w:pPr>
        <w:kinsoku w:val="1"/>
      </w:pPr>
      <w:r>
        <w:rPr>
          <w:lang w:val="zh-CN" w:eastAsia="zh-CN"/>
        </w:rPr>
      </w:r>
      <w:hyperlink r:id="rId69">
        <w:r>
          <w:rPr>
            <w:color w:val="89651E"/>
            <w:lang w:val="zh-CN" w:eastAsia="zh-CN"/>
          </w:rPr>
          <w:t>Agility and FORT Robotics Announce Strategic Partnership to Advance Humanoid Robot Safety</w:t>
        </w:r>
      </w:hyperlink>
      <w:r>
        <w:rPr>
          <w:lang w:val="zh-CN" w:eastAsia="zh-CN"/>
        </w:rPr>
      </w:r>
    </w:p>
    <w:p>
      <w:pPr>
        <w:kinsoku w:val="1"/>
      </w:pPr>
      <w:r>
        <w:rPr>
          <w:lang w:val="zh-CN" w:eastAsia="zh-CN"/>
        </w:rPr>
        <w:t>支持与限制﻿：备忘录描述规划中的Digit 5安全接口﻿；合作及预期功能不是部署认证﻿，前代运行小时不能归给Digit 5﻿。</w:t>
      </w:r>
    </w:p>
    <w:p>
      <w:pPr>
        <w:pStyle w:val="Heading3"/>
        <w:kinsoku w:val="1"/>
      </w:pPr>
      <w:r>
        <w:rPr>
          <w:lang w:val="zh-CN" w:eastAsia="zh-CN"/>
        </w:rPr>
        <w:t>V28</w:t>
      </w:r>
    </w:p>
    <w:p>
      <w:pPr>
        <w:kinsoku w:val="1"/>
      </w:pPr>
      <w:r>
        <w:rPr>
          <w:lang w:val="zh-CN" w:eastAsia="zh-CN"/>
        </w:rPr>
        <w:t>机构﻿：European Commission AI Act Service Desk﻿。发布﻿：未披露﻿；截止日观察官网﻿。事件/统计期﻿：截止日读取第6(1)条解释﻿。读取﻿：2026-10-12﻿。</w:t>
      </w:r>
    </w:p>
    <w:p>
      <w:pPr>
        <w:kinsoku w:val="1"/>
      </w:pPr>
      <w:r>
        <w:rPr>
          <w:lang w:val="zh-CN" w:eastAsia="zh-CN"/>
        </w:rPr>
      </w:r>
      <w:hyperlink r:id="rId70">
        <w:r>
          <w:rPr>
            <w:color w:val="89651E"/>
            <w:lang w:val="zh-CN" w:eastAsia="zh-CN"/>
          </w:rPr>
          <w:t>High-risk AI in regulated products</w:t>
        </w:r>
      </w:hyperlink>
      <w:r>
        <w:rPr>
          <w:lang w:val="zh-CN" w:eastAsia="zh-CN"/>
        </w:rPr>
      </w:r>
    </w:p>
    <w:p>
      <w:pPr>
        <w:kinsoku w:val="1"/>
      </w:pPr>
      <w:r>
        <w:rPr>
          <w:lang w:val="zh-CN" w:eastAsia="zh-CN"/>
        </w:rPr>
        <w:t>支持与限制﻿：解释Annex I覆盖及第三方评定等累积条件﻿，不一概分类AI机器人﻿。无日期官方说明仅用于条件﻿，未断言修订实施日期﻿。</w:t>
      </w:r>
    </w:p>
    <w:p>
      <w:pPr>
        <w:pStyle w:val="Heading3"/>
        <w:kinsoku w:val="1"/>
      </w:pPr>
      <w:r>
        <w:rPr>
          <w:lang w:val="zh-CN" w:eastAsia="zh-CN"/>
        </w:rPr>
        <w:t>V30</w:t>
      </w:r>
    </w:p>
    <w:p>
      <w:pPr>
        <w:kinsoku w:val="1"/>
      </w:pPr>
      <w:r>
        <w:rPr>
          <w:lang w:val="zh-CN" w:eastAsia="zh-CN"/>
        </w:rPr>
        <w:t>机构﻿：ATI Industrial Automation﻿。发布﻿：未披露﻿；截止日观察官网﻿。事件/统计期﻿：截止日读取官网产品类别﻿。读取﻿：2026-10-12﻿。</w:t>
      </w:r>
    </w:p>
    <w:p>
      <w:pPr>
        <w:kinsoku w:val="1"/>
      </w:pPr>
      <w:r>
        <w:rPr>
          <w:lang w:val="zh-CN" w:eastAsia="zh-CN"/>
        </w:rPr>
      </w:r>
      <w:hyperlink r:id="rId71">
        <w:r>
          <w:rPr>
            <w:color w:val="89651E"/>
            <w:lang w:val="zh-CN" w:eastAsia="zh-CN"/>
          </w:rPr>
          <w:t>Multi-Axis Force / Torque Sensors</w:t>
        </w:r>
      </w:hyperlink>
      <w:r>
        <w:rPr>
          <w:lang w:val="zh-CN" w:eastAsia="zh-CN"/>
        </w:rPr>
      </w:r>
    </w:p>
    <w:p>
      <w:pPr>
        <w:kinsoku w:val="1"/>
      </w:pPr>
      <w:r>
        <w:rPr>
          <w:lang w:val="zh-CN" w:eastAsia="zh-CN"/>
        </w:rPr>
        <w:t>支持与限制﻿：证明六轴力/扭矩感知及工业科研用途﻿，不证明列举人形OEM供货﻿、与触觉阵列等同或整机合规﻿。</w:t>
      </w:r>
    </w:p>
    <w:p>
      <w:pPr>
        <w:pStyle w:val="Heading2"/>
        <w:kinsoku w:val="1"/>
      </w:pPr>
      <w:r>
        <w:rPr>
          <w:lang w:val="zh-CN" w:eastAsia="zh-CN"/>
        </w:rPr>
        <w:t>相邻市场统计材料</w:t>
      </w:r>
    </w:p>
    <w:p>
      <w:pPr>
        <w:pStyle w:val="Heading3"/>
        <w:kinsoku w:val="1"/>
      </w:pPr>
      <w:r>
        <w:rPr>
          <w:lang w:val="zh-CN" w:eastAsia="zh-CN"/>
        </w:rPr>
        <w:t>R01</w:t>
      </w:r>
    </w:p>
    <w:p>
      <w:pPr>
        <w:kinsoku w:val="1"/>
      </w:pPr>
      <w:r>
        <w:rPr>
          <w:lang w:val="zh-CN" w:eastAsia="zh-CN"/>
        </w:rPr>
        <w:t>来源﻿：</w:t>
      </w:r>
      <w:hyperlink r:id="rId72">
        <w:r>
          <w:rPr>
            <w:color w:val="89651E"/>
            <w:lang w:val="zh-CN" w:eastAsia="zh-CN"/>
          </w:rPr>
          <w:t>Five Million Robots now Operate in Factories Globally</w:t>
        </w:r>
      </w:hyperlink>
      <w:r>
        <w:rPr>
          <w:lang w:val="zh-CN" w:eastAsia="zh-CN"/>
        </w:rPr>
        <w:t>﻿。机构﻿：国际机器人联合会 IFR﻿。公开日期 2026-09-24﻿；统计期 2025 年﻿；读取日 2026-10-12﻿；位置为首段﻿。</w:t>
      </w:r>
    </w:p>
    <w:p>
      <w:pPr>
        <w:kinsoku w:val="1"/>
      </w:pPr>
      <w:r>
        <w:rPr>
          <w:lang w:val="zh-CN" w:eastAsia="zh-CN"/>
        </w:rPr>
        <w:t>支持与限制﻿：全球工业机器人台数﻿，分别保留存量和年度新增安装口径﻿；不衡量人形机器人或具身 AI 的采用程度﻿。</w:t>
      </w:r>
    </w:p>
    <w:p>
      <w:pPr>
        <w:pStyle w:val="Heading3"/>
        <w:kinsoku w:val="1"/>
      </w:pPr>
      <w:r>
        <w:rPr>
          <w:lang w:val="zh-CN" w:eastAsia="zh-CN"/>
        </w:rPr>
        <w:t>R02</w:t>
      </w:r>
    </w:p>
    <w:p>
      <w:pPr>
        <w:kinsoku w:val="1"/>
      </w:pPr>
      <w:r>
        <w:rPr>
          <w:lang w:val="zh-CN" w:eastAsia="zh-CN"/>
        </w:rPr>
        <w:t>来源﻿：</w:t>
      </w:r>
      <w:hyperlink r:id="rId73">
        <w:r>
          <w:rPr>
            <w:color w:val="89651E"/>
            <w:lang w:val="zh-CN" w:eastAsia="zh-CN"/>
          </w:rPr>
          <w:t>Global Sales of Professional Service Robots Surge 24%</w:t>
        </w:r>
      </w:hyperlink>
      <w:r>
        <w:rPr>
          <w:lang w:val="zh-CN" w:eastAsia="zh-CN"/>
        </w:rPr>
        <w:t>﻿。机构﻿：国际机器人联合会 IFR﻿。公开日期 2026-09-30﻿；统计期 2025 年﻿；读取日 2026-10-12﻿；位置为 Humanoid Robots 小节﻿。</w:t>
      </w:r>
    </w:p>
    <w:p>
      <w:pPr>
        <w:kinsoku w:val="1"/>
      </w:pPr>
      <w:r>
        <w:rPr>
          <w:lang w:val="zh-CN" w:eastAsia="zh-CN"/>
        </w:rPr>
        <w:t>支持与限制﻿：高度超过 140 厘米﻿、用于科研和娱乐以外商业或专业任务的全尺寸人形机器人销售量﻿；较窄范围不与广义人形数量混算﻿。</w:t>
      </w:r>
    </w:p>
    <w:p>
      <w:pPr>
        <w:pStyle w:val="Heading3"/>
        <w:kinsoku w:val="1"/>
      </w:pPr>
      <w:r>
        <w:rPr>
          <w:lang w:val="zh-CN" w:eastAsia="zh-CN"/>
        </w:rPr>
        <w:t>R03</w:t>
      </w:r>
    </w:p>
    <w:p>
      <w:pPr>
        <w:kinsoku w:val="1"/>
      </w:pPr>
      <w:r>
        <w:rPr>
          <w:lang w:val="zh-CN" w:eastAsia="zh-CN"/>
        </w:rPr>
        <w:t>来源﻿：</w:t>
      </w:r>
      <w:hyperlink r:id="rId74">
        <w:r>
          <w:rPr>
            <w:color w:val="89651E"/>
            <w:lang w:val="zh-CN" w:eastAsia="zh-CN"/>
          </w:rPr>
          <w:t>Market Presentation World Robotics Press Conference 2026</w:t>
        </w:r>
      </w:hyperlink>
      <w:r>
        <w:rPr>
          <w:lang w:val="zh-CN" w:eastAsia="zh-CN"/>
        </w:rPr>
        <w:t>﻿。机构﻿：国际机器人联合会 IFR﻿。公开日期 2026-09-24﻿；统计期 2025 年﻿；读取日 2026-10-12﻿；位置为印刷页 28–29 的样本说明和应用饼图﻿。</w:t>
      </w:r>
    </w:p>
    <w:p>
      <w:pPr>
        <w:kinsoku w:val="1"/>
      </w:pPr>
      <w:r>
        <w:rPr>
          <w:lang w:val="zh-CN" w:eastAsia="zh-CN"/>
        </w:rPr>
        <w:t>支持与限制﻿：生产商调查未外推全行业﻿，不比较变化样本的不同调查波次﻿。图 3 保留合计 100% 的六个舍入份额﻿，原列示台数合计 249,568﻿；未归一化或推算未披露精度﻿。</w:t>
      </w:r>
    </w:p>
    <w:p>
      <w:pPr>
        <w:pStyle w:val="Heading2"/>
        <w:kinsoku w:val="1"/>
      </w:pPr>
      <w:r>
        <w:rPr>
          <w:lang w:val="zh-CN" w:eastAsia="zh-CN"/>
        </w:rPr>
        <w:t>市场准入与监管材料</w:t>
      </w:r>
    </w:p>
    <w:p>
      <w:pPr>
        <w:pStyle w:val="Heading3"/>
        <w:kinsoku w:val="1"/>
      </w:pPr>
      <w:r>
        <w:rPr>
          <w:lang w:val="zh-CN" w:eastAsia="zh-CN"/>
        </w:rPr>
        <w:t>V33</w:t>
      </w:r>
    </w:p>
    <w:p>
      <w:pPr>
        <w:kinsoku w:val="1"/>
      </w:pPr>
      <w:r>
        <w:rPr>
          <w:lang w:val="zh-CN" w:eastAsia="zh-CN"/>
        </w:rPr>
        <w:t>FCC﻿’s Public Safety and Homeland Security Bureau Announces Addition of Foreign-Produced Power Inverters and Advanced Robotic Devices to FCC Covered List</w:t>
      </w:r>
    </w:p>
    <w:p>
      <w:pPr>
        <w:kinsoku w:val="1"/>
      </w:pPr>
      <w:r>
        <w:rPr>
          <w:lang w:val="zh-CN" w:eastAsia="zh-CN"/>
        </w:rPr>
        <w:t>Federal Communications Commission | 发布日期 2026-07-28 | 读取日 2026-10-12</w:t>
      </w:r>
    </w:p>
    <w:p>
      <w:pPr>
        <w:kinsoku w:val="1"/>
      </w:pPr>
      <w:r>
        <w:rPr>
          <w:lang w:val="zh-CN" w:eastAsia="zh-CN"/>
        </w:rPr>
      </w:r>
      <w:hyperlink r:id="rId75">
        <w:r>
          <w:rPr>
            <w:color w:val="89651E"/>
            <w:lang w:val="zh-CN" w:eastAsia="zh-CN"/>
          </w:rPr>
          <w:t>原始来源</w:t>
        </w:r>
      </w:hyperlink>
      <w:r>
        <w:rPr>
          <w:lang w:val="zh-CN" w:eastAsia="zh-CN"/>
        </w:rPr>
      </w:r>
    </w:p>
    <w:p>
      <w:pPr>
        <w:kinsoku w:val="1"/>
      </w:pPr>
      <w:r>
        <w:rPr>
          <w:lang w:val="zh-CN" w:eastAsia="zh-CN"/>
        </w:rPr>
        <w:t>将外国生产的先进机器人设备列入 Covered List﻿，并为 DoW 有条件批准保留例外﻿；所列设备不得取得 FCC 设备授权﻿。新增分类按生产而非点名企业确定﻿。 Appendix C 扫描正文未能提取／读取﻿；详细设备定义依 V34 官方 FAQ﻿。不得称全部既有外国机器人都被禁或仅针对中国﻿。</w:t>
      </w:r>
    </w:p>
    <w:p>
      <w:pPr>
        <w:kinsoku w:val="1"/>
      </w:pPr>
      <w:r>
        <w:rPr>
          <w:lang w:val="zh-CN" w:eastAsia="zh-CN"/>
        </w:rPr>
        <w:t>定位: Main notice printed pages 2–4; Appendix A listing</w:t>
      </w:r>
    </w:p>
    <w:p>
      <w:pPr>
        <w:pStyle w:val="Heading3"/>
        <w:kinsoku w:val="1"/>
      </w:pPr>
      <w:r>
        <w:rPr>
          <w:lang w:val="zh-CN" w:eastAsia="zh-CN"/>
        </w:rPr>
        <w:t>V34</w:t>
      </w:r>
    </w:p>
    <w:p>
      <w:pPr>
        <w:kinsoku w:val="1"/>
      </w:pPr>
      <w:r>
        <w:rPr>
          <w:lang w:val="zh-CN" w:eastAsia="zh-CN"/>
        </w:rPr>
        <w:t>FAQs on Recent Updates to FCC Covered List Regarding Foreign-Produced Advanced Robotic Devices and Power Inverters</w:t>
      </w:r>
    </w:p>
    <w:p>
      <w:pPr>
        <w:kinsoku w:val="1"/>
      </w:pPr>
      <w:r>
        <w:rPr>
          <w:lang w:val="zh-CN" w:eastAsia="zh-CN"/>
        </w:rPr>
        <w:t>Federal Communications Commission | 发布日期 未披露 | 读取日 2026-10-12</w:t>
      </w:r>
    </w:p>
    <w:p>
      <w:pPr>
        <w:kinsoku w:val="1"/>
      </w:pPr>
      <w:r>
        <w:rPr>
          <w:lang w:val="zh-CN" w:eastAsia="zh-CN"/>
        </w:rPr>
      </w:r>
      <w:hyperlink r:id="rId76">
        <w:r>
          <w:rPr>
            <w:color w:val="89651E"/>
            <w:lang w:val="zh-CN" w:eastAsia="zh-CN"/>
          </w:rPr>
          <w:t>原始来源</w:t>
        </w:r>
      </w:hyperlink>
      <w:r>
        <w:rPr>
          <w:lang w:val="zh-CN" w:eastAsia="zh-CN"/>
        </w:rPr>
      </w:r>
    </w:p>
    <w:p>
      <w:pPr>
        <w:kinsoku w:val="1"/>
      </w:pPr>
      <w:r>
        <w:rPr>
          <w:lang w:val="zh-CN" w:eastAsia="zh-CN"/>
        </w:rPr>
        <w:t>解释设备条件﻿、排除项﻿、国家中性的生产标准﻿，并区分新授权限制与先前已授权型号﻿；7 月新增本身不禁止后者继续进口／销售或消费者合法使用﻿。 无公开发布日期的截止日官方页面﻿，非个别产品合规结论﻿；部分答案有显著复制／排版错误﻿，豁免应交叉核对原公文﻿。</w:t>
      </w:r>
    </w:p>
    <w:p>
      <w:pPr>
        <w:kinsoku w:val="1"/>
      </w:pPr>
      <w:r>
        <w:rPr>
          <w:lang w:val="zh-CN" w:eastAsia="zh-CN"/>
        </w:rPr>
        <w:t>定位: Restrictions; practical impact; advanced robotic device definition; foreign-produced definition; entity nationality; country targeting</w:t>
      </w:r>
    </w:p>
    <w:p>
      <w:pPr>
        <w:pStyle w:val="Heading3"/>
        <w:kinsoku w:val="1"/>
      </w:pPr>
      <w:r>
        <w:rPr>
          <w:lang w:val="zh-CN" w:eastAsia="zh-CN"/>
        </w:rPr>
        <w:t>V35</w:t>
      </w:r>
    </w:p>
    <w:p>
      <w:pPr>
        <w:kinsoku w:val="1"/>
      </w:pPr>
      <w:r>
        <w:rPr>
          <w:lang w:val="zh-CN" w:eastAsia="zh-CN"/>
        </w:rPr>
        <w:t>FCC﻿’s Public Safety and Homeland Security Bureau Announces Conditional Approval and Exemption of Certain Advanced Robotic Devices from FCC Covered List</w:t>
      </w:r>
    </w:p>
    <w:p>
      <w:pPr>
        <w:kinsoku w:val="1"/>
      </w:pPr>
      <w:r>
        <w:rPr>
          <w:lang w:val="zh-CN" w:eastAsia="zh-CN"/>
        </w:rPr>
        <w:t>Federal Communications Commission | 发布日期 2026-09-18 | 读取日 2026-10-12</w:t>
      </w:r>
    </w:p>
    <w:p>
      <w:pPr>
        <w:kinsoku w:val="1"/>
      </w:pPr>
      <w:r>
        <w:rPr>
          <w:lang w:val="zh-CN" w:eastAsia="zh-CN"/>
        </w:rPr>
      </w:r>
      <w:hyperlink r:id="rId77">
        <w:r>
          <w:rPr>
            <w:color w:val="89651E"/>
            <w:lang w:val="zh-CN" w:eastAsia="zh-CN"/>
          </w:rPr>
          <w:t>原始来源</w:t>
        </w:r>
      </w:hyperlink>
      <w:r>
        <w:rPr>
          <w:lang w:val="zh-CN" w:eastAsia="zh-CN"/>
        </w:rPr>
      </w:r>
    </w:p>
    <w:p>
      <w:pPr>
        <w:kinsoku w:val="1"/>
      </w:pPr>
      <w:r>
        <w:rPr>
          <w:lang w:val="zh-CN" w:eastAsia="zh-CN"/>
        </w:rPr>
        <w:t>宣布 ANSCER AR250／AR650／AR1250 的有条件豁免﻿，依持续遵守本土化计划及产品重新审查﻿。 仅相应型号有条件批准﻿，非所有 ANSCER 产品﻿、所有 AMR 或所有人形机器人的全面豁免﻿；不推断其他厂商获批﻿。</w:t>
      </w:r>
    </w:p>
    <w:p>
      <w:pPr>
        <w:kinsoku w:val="1"/>
      </w:pPr>
      <w:r>
        <w:rPr>
          <w:lang w:val="zh-CN" w:eastAsia="zh-CN"/>
        </w:rPr>
        <w:t>定位: Main notice printed pages 1–2, Conditional Approvals</w:t>
      </w:r>
    </w:p>
    <w:p>
      <w:pPr>
        <w:pStyle w:val="Heading3"/>
        <w:kinsoku w:val="1"/>
      </w:pPr>
      <w:r>
        <w:rPr>
          <w:lang w:val="zh-CN" w:eastAsia="zh-CN"/>
        </w:rPr>
        <w:t>V36</w:t>
      </w:r>
    </w:p>
    <w:p>
      <w:pPr>
        <w:kinsoku w:val="1"/>
      </w:pPr>
      <w:r>
        <w:rPr>
          <w:lang w:val="zh-CN" w:eastAsia="zh-CN"/>
        </w:rPr>
        <w:t>AI Omnibus enters into force</w:t>
      </w:r>
    </w:p>
    <w:p>
      <w:pPr>
        <w:kinsoku w:val="1"/>
      </w:pPr>
      <w:r>
        <w:rPr>
          <w:lang w:val="zh-CN" w:eastAsia="zh-CN"/>
        </w:rPr>
        <w:t>European Commission DG CONNECT | 发布日期 2026-07-27 | 读取日 2026-10-12</w:t>
      </w:r>
    </w:p>
    <w:p>
      <w:pPr>
        <w:kinsoku w:val="1"/>
      </w:pPr>
      <w:r>
        <w:rPr>
          <w:lang w:val="zh-CN" w:eastAsia="zh-CN"/>
        </w:rPr>
      </w:r>
      <w:hyperlink r:id="rId78">
        <w:r>
          <w:rPr>
            <w:color w:val="89651E"/>
            <w:lang w:val="zh-CN" w:eastAsia="zh-CN"/>
          </w:rPr>
          <w:t>原始来源</w:t>
        </w:r>
      </w:hyperlink>
      <w:r>
        <w:rPr>
          <w:lang w:val="zh-CN" w:eastAsia="zh-CN"/>
        </w:rPr>
      </w:r>
    </w:p>
    <w:p>
      <w:pPr>
        <w:kinsoku w:val="1"/>
      </w:pPr>
      <w:r>
        <w:rPr>
          <w:lang w:val="zh-CN" w:eastAsia="zh-CN"/>
        </w:rPr>
        <w:t>欧委会说明 AI Omnibus 于 2026-07-27 生效﻿，Annex III 高风险规则自 2027-12-02 适用﻿，Annex I 产品内嵌高风险规则自 2028-08-02 适用﻿。 EUR-Lex (EU) 2026/1744 原文仍被 antiBot 拦截﻿；本记录只支持具归属的官方政策说明﻿，不标法律原文已核实﻿，也不分类具体机器人﻿。</w:t>
      </w:r>
    </w:p>
    <w:p>
      <w:pPr>
        <w:kinsoku w:val="1"/>
      </w:pPr>
      <w:r>
        <w:rPr>
          <w:lang w:val="zh-CN" w:eastAsia="zh-CN"/>
        </w:rPr>
        <w:t>定位: Opening paragraph; Extended timelines</w:t>
      </w:r>
    </w:p>
    <w:p>
      <w:pPr>
        <w:pStyle w:val="Heading2"/>
        <w:kinsoku w:val="1"/>
      </w:pPr>
      <w:r>
        <w:rPr>
          <w:lang w:val="zh-CN" w:eastAsia="zh-CN"/>
        </w:rPr>
        <w:t>封面实拍 C01</w:t>
      </w:r>
    </w:p>
    <w:p>
      <w:pPr>
        <w:kinsoku w:val="1"/>
      </w:pPr>
      <w:r>
        <w:rPr>
          <w:lang w:val="zh-CN" w:eastAsia="zh-CN"/>
        </w:rPr>
        <w:t>2025 年 10 月 31 日﻿，东京 Big Sight 的 Japan Mobility Show 2025 展台上的 Unitree G1 人形机器人与 Go2 四足机器人﻿。照片展示机器人硬件﻿，不作为工业自主能力的证明﻿。</w:t>
      </w:r>
    </w:p>
    <w:p>
      <w:pPr>
        <w:kinsoku w:val="1"/>
      </w:pPr>
      <w:r>
        <w:rPr>
          <w:lang w:val="zh-CN" w:eastAsia="zh-CN"/>
        </w:rPr>
        <w:t>摄影﻿：RuinDig / Yuki Uchida﻿；来源﻿：Wikimedia Commons﻿；CC BY 4.0﻿。原始实拍照片﻿，文件像素未修改﻿。 许可﻿：</w:t>
      </w:r>
      <w:hyperlink r:id="rId80">
        <w:r>
          <w:rPr>
            <w:color w:val="89651E"/>
            <w:lang w:val="zh-CN" w:eastAsia="zh-CN"/>
          </w:rPr>
          <w:t>CC BY 4.0</w:t>
        </w:r>
      </w:hyperlink>
      <w:r>
        <w:rPr>
          <w:lang w:val="zh-CN" w:eastAsia="zh-CN"/>
        </w:rPr>
        <w:t>﻿。原始页面﻿：</w:t>
      </w:r>
      <w:hyperlink r:id="rId79">
        <w:r>
          <w:rPr>
            <w:color w:val="89651E"/>
            <w:lang w:val="zh-CN" w:eastAsia="zh-CN"/>
          </w:rPr>
          <w:t>摄影者发布的文件页</w:t>
        </w:r>
      </w:hyperlink>
      <w:r>
        <w:rPr>
          <w:lang w:val="zh-CN" w:eastAsia="zh-CN"/>
        </w:rPr>
        <w:t>﻿。</w:t>
      </w:r>
    </w:p>
    <w:p>
      <w:pPr>
        <w:kinsoku w:val="1"/>
      </w:pPr>
      <w:r>
        <w:rPr>
          <w:lang w:val="zh-CN" w:eastAsia="zh-CN"/>
        </w:rPr>
        <w:t>原图链接﻿：https://upload.wikimedia.org/wikipedia/commons/5/5a/Japan-Mobility-Show-2025-RuinDig_0542.jpg</w:t>
      </w:r>
    </w:p>
    <w:p>
      <w:pPr>
        <w:kinsoku w:val="1"/>
      </w:pPr>
      <w:r>
        <w:rPr>
          <w:lang w:val="zh-CN" w:eastAsia="zh-CN"/>
        </w:rPr>
        <w:t>拍摄日 2025-10-31﻿；上传日 2025-11-28﻿；读取日 2026-10-12﻿。原始尺寸 3840 × 2160 像素﻿。v2 使用未改动的原始照片﻿，在文档内等比缩放﻿。替代文本﻿：东京展会的灯光舞台上﻿，一台银黑色 Unitree G1 人形机器人侧身站立﻿，右侧是一台 Go2 四足机器人﻿。</w:t>
      </w:r>
    </w:p>
    <w:p>
      <w:pPr>
        <w:kinsoku w:val="1"/>
      </w:pPr>
      <w:r>
        <w:rPr>
          <w:lang w:val="zh-CN" w:eastAsia="zh-CN"/>
        </w:rPr>
        <w:t>照片证明展会硬件对象﻿，不证明工厂自主运行表现﻿。本版省略可选正文资料照片﻿；数据图与产业链脑图按证据另行绘制﻿。</w:t>
      </w:r>
    </w:p>
    <w:sectPr w:rsidR="00FC693F" w:rsidRPr="0006063C" w:rsidSect="00034616">
      <w:pgSz w:w="12240" w:h="15840"/>
      <w:pgMar w:top="1008" w:right="1080" w:bottom="936" w:left="1080" w:header="317"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noLineBreaksAfter w:lang="zh-CN" w:val="（［｛〈《「『【〔〖([{"/>
  <w:noLineBreaksBefore w:lang="zh-CN" w:val="。，、；：？！）］｝〉》」』】〕〗％‰℃,.;:!?)]}"/>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insoku w:val="1"/>
      <w:spacing w:line="300" w:lineRule="auto" w:after="140"/>
    </w:pPr>
    <w:rPr>
      <w:rFonts w:ascii="Arial" w:hAnsi="Arial" w:eastAsia="Microsoft YaHei"/>
      <w:b w:val="0"/>
      <w:color w:val="000000"/>
      <w:sz w:val="22"/>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kinsoku w:val="1"/>
    </w:pPr>
    <w:rPr>
      <w:rFonts w:asciiTheme="majorHAnsi" w:eastAsiaTheme="majorEastAsia" w:hAnsiTheme="majorHAnsi" w:cstheme="majorBidi" w:ascii="Arial" w:hAnsi="Arial" w:eastAsia="Microsoft YaHei"/>
      <w:b/>
      <w:bCs/>
      <w:color w:val="000000"/>
      <w:sz w:val="36"/>
      <w:szCs w:val="28"/>
      <w:lang w:val="en-US" w:eastAsia="zh-CN"/>
    </w:rPr>
  </w:style>
  <w:style w:type="paragraph" w:styleId="Heading2">
    <w:name w:val="heading 2"/>
    <w:basedOn w:val="Normal"/>
    <w:next w:val="Normal"/>
    <w:link w:val="Heading2Char"/>
    <w:uiPriority w:val="9"/>
    <w:unhideWhenUsed/>
    <w:qFormat/>
    <w:rsid w:val="00FC693F"/>
    <w:pPr>
      <w:keepNext/>
      <w:keepLines/>
      <w:spacing w:before="300" w:after="140"/>
      <w:outlineLvl w:val="1"/>
      <w:kinsoku w:val="1"/>
    </w:pPr>
    <w:rPr>
      <w:rFonts w:asciiTheme="majorHAnsi" w:eastAsiaTheme="majorEastAsia" w:hAnsiTheme="majorHAnsi" w:cstheme="majorBidi" w:ascii="Arial" w:hAnsi="Arial" w:eastAsia="Microsoft YaHei"/>
      <w:b/>
      <w:bCs/>
      <w:color w:val="000000"/>
      <w:sz w:val="27"/>
      <w:szCs w:val="26"/>
      <w:lang w:val="en-US" w:eastAsia="zh-CN"/>
    </w:rPr>
  </w:style>
  <w:style w:type="paragraph" w:styleId="Heading3">
    <w:name w:val="heading 3"/>
    <w:basedOn w:val="Normal"/>
    <w:next w:val="Normal"/>
    <w:link w:val="Heading3Char"/>
    <w:uiPriority w:val="9"/>
    <w:unhideWhenUsed/>
    <w:qFormat/>
    <w:rsid w:val="00FC693F"/>
    <w:pPr>
      <w:keepNext/>
      <w:keepLines/>
      <w:spacing w:before="300" w:after="140"/>
      <w:outlineLvl w:val="2"/>
      <w:kinsoku w:val="1"/>
    </w:pPr>
    <w:rPr>
      <w:rFonts w:asciiTheme="majorHAnsi" w:eastAsiaTheme="majorEastAsia" w:hAnsiTheme="majorHAnsi" w:cstheme="majorBidi" w:ascii="Arial" w:hAnsi="Arial" w:eastAsia="Microsoft YaHei"/>
      <w:b/>
      <w:bCs/>
      <w:color w:val="000000"/>
      <w:sz w:val="24"/>
      <w:lang w:val="en-US"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contextualSpacing/>
      <w:kinsoku w:val="1"/>
    </w:pPr>
    <w:rPr>
      <w:rFonts w:asciiTheme="majorHAnsi" w:eastAsiaTheme="majorEastAsia" w:hAnsiTheme="majorHAnsi" w:cstheme="majorBidi" w:ascii="Arial" w:hAnsi="Arial" w:eastAsia="Microsoft YaHei"/>
      <w:b w:val="0"/>
      <w:color w:val="000000"/>
      <w:spacing w:val="5"/>
      <w:kern w:val="28"/>
      <w:sz w:val="50"/>
      <w:szCs w:val="52"/>
      <w:lang w:val="en-US"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kinsoku w:val="1"/>
    </w:pPr>
    <w:rPr>
      <w:rFonts w:asciiTheme="majorHAnsi" w:eastAsiaTheme="majorEastAsia" w:hAnsiTheme="majorHAnsi" w:cstheme="majorBidi" w:ascii="Arial" w:hAnsi="Arial" w:eastAsia="Microsoft YaHei"/>
      <w:i w:val="0"/>
      <w:iCs/>
      <w:color w:val="000000"/>
      <w:spacing w:val="15"/>
      <w:sz w:val="26"/>
      <w:szCs w:val="24"/>
      <w:lang w:val="en-US" w:eastAsia="zh-CN"/>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kinsoku w:val="1"/>
    </w:pPr>
    <w:rPr>
      <w:rFonts w:ascii="Arial" w:hAnsi="Arial" w:eastAsia="Microsoft YaHei"/>
      <w:b w:val="0"/>
      <w:bCs/>
      <w:i w:val="0"/>
      <w:color w:val="000000"/>
      <w:sz w:val="19"/>
      <w:szCs w:val="18"/>
      <w:lang w:val="en-US"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yperlink" Target="https://www.press.bmwgroup.com/united-kingdom/article/detail/T0455870EN_GB/bmw-group-to-deploy-humanoid-robots-in-production-in-germany-for-the-first-time" TargetMode="External"/><Relationship Id="rId16" Type="http://schemas.openxmlformats.org/officeDocument/2006/relationships/hyperlink" Target="https://gxo.com/news_article/gxo-signs-industry-first-multi-year-agreement-with-agility-robotics/" TargetMode="External"/><Relationship Id="rId17" Type="http://schemas.openxmlformats.org/officeDocument/2006/relationships/hyperlink" Target="https://www.press.bmwgroup.com/global/article/detail/T0458778EN/bmw-group-advances-the-use-of-physical-ai-in-production-with-figure-03-project-in-spartanburg" TargetMode="External"/><Relationship Id="rId18" Type="http://schemas.openxmlformats.org/officeDocument/2006/relationships/hyperlink" Target="https://www.waseda.jp/top/en/news/88080" TargetMode="External"/><Relationship Id="rId19" Type="http://schemas.openxmlformats.org/officeDocument/2006/relationships/hyperlink" Target="https://global.honda/jp/news/2000/c001120b.html" TargetMode="External"/><Relationship Id="rId20" Type="http://schemas.openxmlformats.org/officeDocument/2006/relationships/hyperlink" Target="https://www.darpa.mil/news/2013/atlas-robot-unveiled" TargetMode="External"/><Relationship Id="rId21" Type="http://schemas.openxmlformats.org/officeDocument/2006/relationships/hyperlink" Target="https://www.darpa.mil/news/2015/robotics-challenge-workshop" TargetMode="External"/><Relationship Id="rId22" Type="http://schemas.openxmlformats.org/officeDocument/2006/relationships/hyperlink" Target="https://www.darpa.mil/news/2015/robotics-challenge-finals" TargetMode="External"/><Relationship Id="rId23" Type="http://schemas.openxmlformats.org/officeDocument/2006/relationships/hyperlink" Target="https://arxiv.org/html/2303.03378v1" TargetMode="External"/><Relationship Id="rId24" Type="http://schemas.openxmlformats.org/officeDocument/2006/relationships/hyperlink" Target="https://arxiv.org/html/2307.15818v1" TargetMode="External"/><Relationship Id="rId25" Type="http://schemas.openxmlformats.org/officeDocument/2006/relationships/hyperlink" Target="https://arxiv.org/pdf/2310.08864v9" TargetMode="External"/><Relationship Id="rId26" Type="http://schemas.openxmlformats.org/officeDocument/2006/relationships/hyperlink" Target="https://bostondynamics.com/blog/electric-new-era-for-atlas" TargetMode="External"/><Relationship Id="rId27" Type="http://schemas.openxmlformats.org/officeDocument/2006/relationships/hyperlink" Target="https://bostondynamics.com/blog/atlas-evolution-from-research-robot-to-industrial-humanoid/" TargetMode="External"/><Relationship Id="rId28" Type="http://schemas.openxmlformats.org/officeDocument/2006/relationships/hyperlink" Target="https://deepmind.google/blog/gemini-robotics-brings-ai-into-the-physical-world/" TargetMode="External"/><Relationship Id="rId29" Type="http://schemas.openxmlformats.org/officeDocument/2006/relationships/hyperlink" Target="https://nvidianews.nvidia.com/news/nvidia-isaac-gr00t-n1-open-humanoid-robot-foundation-model-simulation-frameworks" TargetMode="External"/><Relationship Id="rId30" Type="http://schemas.openxmlformats.org/officeDocument/2006/relationships/hyperlink" Target="https://deepmind.google/blog/gemini-robotics-15-brings-ai-agents-into-the-physical-world/" TargetMode="External"/><Relationship Id="rId31" Type="http://schemas.openxmlformats.org/officeDocument/2006/relationships/hyperlink" Target="https://bostondynamics.com/blog/boston-dynamics-unveils-new-atlas-robot-to-revolutionize-industry/" TargetMode="External"/><Relationship Id="rId32" Type="http://schemas.openxmlformats.org/officeDocument/2006/relationships/hyperlink" Target="https://nvidianews.nvidia.com/news/nvidia-expands-open-model-families-to-power-the-next-wave-of-agentic-physical-and-healthcare-ai" TargetMode="External"/><Relationship Id="rId33" Type="http://schemas.openxmlformats.org/officeDocument/2006/relationships/hyperlink" Target="https://www.press.bmwgroup.com/usa/article/detail/T0444268EN_US/successful-test-of-humanoid-robots-at-bmw-group-plant-spartanburg?showMedia=photo" TargetMode="External"/><Relationship Id="rId34" Type="http://schemas.openxmlformats.org/officeDocument/2006/relationships/hyperlink" Target="https://people.csail.mit.edu/brooks/papers/representation.pdf" TargetMode="External"/><Relationship Id="rId35" Type="http://schemas.openxmlformats.org/officeDocument/2006/relationships/hyperlink" Target="https://www.miit.gov.cn/zwgk/zcjd/art/2023/art_e3f5686c2f0d49f9968b7ae011d558e1.html" TargetMode="External"/><Relationship Id="rId36" Type="http://schemas.openxmlformats.org/officeDocument/2006/relationships/hyperlink" Target="https://www.miit.gov.cn/jgsj/kjs/wjfb/art/2023/art_50316f76a9b1454b898c7bb2a5846b79.html" TargetMode="External"/><Relationship Id="rId37" Type="http://schemas.openxmlformats.org/officeDocument/2006/relationships/hyperlink" Target="https://smartanalyticsglobal.com/global-humanoid-robot-shipments-2026-agibot-unitree/" TargetMode="External"/><Relationship Id="rId38" Type="http://schemas.openxmlformats.org/officeDocument/2006/relationships/hyperlink" Target="https://www.agibot.com.cn/public/uploads/file/Omdia%20Market%20Radar%20-%20General-purpose%20Embodied%20Intelligent%20Robot%20-%202026.pdf" TargetMode="External"/><Relationship Id="rId39" Type="http://schemas.openxmlformats.org/officeDocument/2006/relationships/hyperlink" Target="https://counterpointresearch.com/en/insights/Global-Humanoid-Robot-Installations-Reach-16%2C000-Units-in-2025-as-Mass-Production-Picks-Pace%20" TargetMode="External"/><Relationship Id="rId40" Type="http://schemas.openxmlformats.org/officeDocument/2006/relationships/hyperlink" Target="https://counterpointresearch.com/en/insights/global-humanoid-robot-shipments-soar-nearly-300-percent-yoy-in-h1-2026" TargetMode="External"/><Relationship Id="rId41" Type="http://schemas.openxmlformats.org/officeDocument/2006/relationships/hyperlink" Target="https://www.prnewswire.com/news-releases/unitree-ranks-no1-globally-in-humanoid-robot-shipments-exceeding-5-500-units-in-2025--302674729.html" TargetMode="External"/><Relationship Id="rId42" Type="http://schemas.openxmlformats.org/officeDocument/2006/relationships/hyperlink" Target="https://static.sse.com.cn/stock/disclosure/announcement/c/202605/002178_20260525_V4H0.pdf" TargetMode="External"/><Relationship Id="rId43" Type="http://schemas.openxmlformats.org/officeDocument/2006/relationships/hyperlink" Target="https://dataclouds.cninfo.com.cn/sjother2/documents/2026/2026-05-25/3d7fc0538abe281340a95c9c77a90525.pdf" TargetMode="External"/><Relationship Id="rId44" Type="http://schemas.openxmlformats.org/officeDocument/2006/relationships/hyperlink" Target="https://www.hkexnews.hk/listedco/listconews/sehk/2026/0331/2026033102607.pdf" TargetMode="External"/><Relationship Id="rId45" Type="http://schemas.openxmlformats.org/officeDocument/2006/relationships/hyperlink" Target="https://www1.hkexnews.hk/listedco/listconews/sehk/2026/0828/2026082801691.pdf" TargetMode="External"/><Relationship Id="rId46" Type="http://schemas.openxmlformats.org/officeDocument/2006/relationships/hyperlink" Target="https://www.figure.ai/news/series-c" TargetMode="External"/><Relationship Id="rId47" Type="http://schemas.openxmlformats.org/officeDocument/2006/relationships/hyperlink" Target="https://apptronik.com/news-collection/apptronik-closes-over-935-million-series-a" TargetMode="External"/><Relationship Id="rId48" Type="http://schemas.openxmlformats.org/officeDocument/2006/relationships/hyperlink" Target="https://research.nvidia.com/labs/gear/gr00t-n1_6/" TargetMode="External"/><Relationship Id="rId49" Type="http://schemas.openxmlformats.org/officeDocument/2006/relationships/hyperlink" Target="https://developer.nvidia.com/blog/introducing-nvidia-jetson-thor-the-ultimate-platform-for-physical-ai/" TargetMode="External"/><Relationship Id="rId50" Type="http://schemas.openxmlformats.org/officeDocument/2006/relationships/hyperlink" Target="https://arxiv.org/html/2504.16054v1" TargetMode="External"/><Relationship Id="rId51" Type="http://schemas.openxmlformats.org/officeDocument/2006/relationships/hyperlink" Target="https://www.harmonicdrive.net/technology/harmonicdrive" TargetMode="External"/><Relationship Id="rId52" Type="http://schemas.openxmlformats.org/officeDocument/2006/relationships/hyperlink" Target="https://global.maxongroup.com/high-efficiency-joints" TargetMode="External"/><Relationship Id="rId53" Type="http://schemas.openxmlformats.org/officeDocument/2006/relationships/hyperlink" Target="https://www.gelsight.com/product/digit-tactile-sensor/" TargetMode="External"/><Relationship Id="rId54" Type="http://schemas.openxmlformats.org/officeDocument/2006/relationships/hyperlink" Target="https://www.orbbec.com/news/humanoid-robots-see-smarter-orbbec-3d-cameras-are-integrated-with-nvidia-jetson-thor/" TargetMode="External"/><Relationship Id="rId55" Type="http://schemas.openxmlformats.org/officeDocument/2006/relationships/hyperlink" Target="https://www.unitree.com/g1/" TargetMode="External"/><Relationship Id="rId56" Type="http://schemas.openxmlformats.org/officeDocument/2006/relationships/hyperlink" Target="https://agibot.com/article/231/detail/82.html" TargetMode="External"/><Relationship Id="rId57" Type="http://schemas.openxmlformats.org/officeDocument/2006/relationships/hyperlink" Target="https://www.agibot.com/article/231/detail/54.html" TargetMode="External"/><Relationship Id="rId58" Type="http://schemas.openxmlformats.org/officeDocument/2006/relationships/hyperlink" Target="https://www.agibot.com/products/AIDEA/Daas" TargetMode="External"/><Relationship Id="rId59" Type="http://schemas.openxmlformats.org/officeDocument/2006/relationships/hyperlink" Target="https://www.ubtrobot.com/en/humanoid/products/walker-s2" TargetMode="External"/><Relationship Id="rId60" Type="http://schemas.openxmlformats.org/officeDocument/2006/relationships/hyperlink" Target="https://www.figure.ai/news/production-at-bmw" TargetMode="External"/><Relationship Id="rId61" Type="http://schemas.openxmlformats.org/officeDocument/2006/relationships/hyperlink" Target="https://bostondynamics.com/products/atlas/" TargetMode="External"/><Relationship Id="rId62" Type="http://schemas.openxmlformats.org/officeDocument/2006/relationships/hyperlink" Target="https://www.1x.tech/discover/neo-home-robot" TargetMode="External"/><Relationship Id="rId63" Type="http://schemas.openxmlformats.org/officeDocument/2006/relationships/hyperlink" Target="https://www.1x.tech/order" TargetMode="External"/><Relationship Id="rId64" Type="http://schemas.openxmlformats.org/officeDocument/2006/relationships/hyperlink" Target="https://www.sec.gov/Archives/edgar/data/1318605/000162828026049270/tsla-20260630.htm" TargetMode="External"/><Relationship Id="rId65" Type="http://schemas.openxmlformats.org/officeDocument/2006/relationships/hyperlink" Target="https://www.iso.org/standard/73933.html" TargetMode="External"/><Relationship Id="rId66" Type="http://schemas.openxmlformats.org/officeDocument/2006/relationships/hyperlink" Target="https://www.iso.org/standard/73934.html" TargetMode="External"/><Relationship Id="rId67" Type="http://schemas.openxmlformats.org/officeDocument/2006/relationships/hyperlink" Target="https://www.iso.org/standard/53820.html" TargetMode="External"/><Relationship Id="rId68" Type="http://schemas.openxmlformats.org/officeDocument/2006/relationships/hyperlink" Target="https://www.automate.org/robotics/blogs/new-developments-mobile-robot-safety-interoperability" TargetMode="External"/><Relationship Id="rId69" Type="http://schemas.openxmlformats.org/officeDocument/2006/relationships/hyperlink" Target="https://www.agilityrobotics.com/content/agility-and-fort-robotics-announce-strategic-partnership-to-advance-humanoid-robot-safety" TargetMode="External"/><Relationship Id="rId70" Type="http://schemas.openxmlformats.org/officeDocument/2006/relationships/hyperlink" Target="https://ai-act-service-desk.ec.europa.eu/en/high-risk-ai-regulated-products" TargetMode="External"/><Relationship Id="rId71" Type="http://schemas.openxmlformats.org/officeDocument/2006/relationships/hyperlink" Target="https://www.ati-ia.com/Products/ft/sensors.aspx" TargetMode="External"/><Relationship Id="rId72" Type="http://schemas.openxmlformats.org/officeDocument/2006/relationships/hyperlink" Target="https://ifr.org/ifr-press-releases/news/five-million-robots-now-operate-in-factories-globally" TargetMode="External"/><Relationship Id="rId73" Type="http://schemas.openxmlformats.org/officeDocument/2006/relationships/hyperlink" Target="https://ifr.org/ifr-press-releases/news/global-sales-of-professional-service-robots-surge-24-percent" TargetMode="External"/><Relationship Id="rId74" Type="http://schemas.openxmlformats.org/officeDocument/2006/relationships/hyperlink" Target="https://ifr.org/downloads/press_docs/Market_Presentation_WR_Press_Conference_2026.pdf" TargetMode="External"/><Relationship Id="rId75" Type="http://schemas.openxmlformats.org/officeDocument/2006/relationships/hyperlink" Target="https://docs.fcc.gov/public/attachments/DA-26-786A1.pdf" TargetMode="External"/><Relationship Id="rId76" Type="http://schemas.openxmlformats.org/officeDocument/2006/relationships/hyperlink" Target="https://www.fcc.gov/covered-list-faqs-robots-inverters" TargetMode="External"/><Relationship Id="rId77" Type="http://schemas.openxmlformats.org/officeDocument/2006/relationships/hyperlink" Target="https://docs.fcc.gov/public/attachments/DA-26-996A1.pdf" TargetMode="External"/><Relationship Id="rId78" Type="http://schemas.openxmlformats.org/officeDocument/2006/relationships/hyperlink" Target="https://digital-strategy.ec.europa.eu/en/news/ai-omnibus-enters-force" TargetMode="External"/><Relationship Id="rId79" Type="http://schemas.openxmlformats.org/officeDocument/2006/relationships/hyperlink" Target="https://commons.wikimedia.org/wiki/File:Japan-Mobility-Show-2025-RuinDig_0542.jpg" TargetMode="External"/><Relationship Id="rId80"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Embodied Intelligence and Humanoid Robotics Industry Report</dc:title>
  <dc:subject>Global industry research with bilingual supporting evidence</dc:subject>
  <dc:creator>DEX Research</dc:creator>
  <cp:keywords>Embodied intelligence, humanoid robotics, global markets</cp:keywords>
  <dc:description>generated by python-docx</dc:description>
  <cp:lastModifiedBy/>
  <cp:revision>1</cp:revision>
  <dcterms:created xsi:type="dcterms:W3CDTF">2013-12-23T23:15:00Z</dcterms:created>
  <dcterms:modified xsi:type="dcterms:W3CDTF">2013-12-23T23:15:00Z</dcterms:modified>
  <cp:category/>
</cp:coreProperties>
</file>